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EB96" w14:textId="035CFDEA" w:rsidR="00B558F9" w:rsidRPr="00A43B16" w:rsidRDefault="00E13A8A" w:rsidP="00F01C99">
      <w:pPr>
        <w:tabs>
          <w:tab w:val="left" w:pos="1560"/>
          <w:tab w:val="center" w:pos="4702"/>
        </w:tabs>
        <w:spacing w:after="0" w:line="276" w:lineRule="auto"/>
        <w:ind w:left="1560" w:hanging="1560"/>
        <w:rPr>
          <w:rFonts w:ascii="Arial Narrow" w:hAnsi="Arial Narrow" w:cs="Times New Roman"/>
          <w:b/>
          <w:i/>
          <w:sz w:val="24"/>
          <w:szCs w:val="24"/>
        </w:rPr>
      </w:pPr>
      <w:r>
        <w:rPr>
          <w:rFonts w:ascii="Times New Roman" w:hAnsi="Times New Roman" w:cs="Times New Roman"/>
        </w:rPr>
        <w:tab/>
      </w:r>
      <w:r w:rsidR="00063352">
        <w:rPr>
          <w:rFonts w:ascii="Times New Roman" w:hAnsi="Times New Roman" w:cs="Times New Roman"/>
        </w:rPr>
        <w:tab/>
      </w:r>
      <w:r w:rsidR="00B558F9" w:rsidRPr="00A43B16">
        <w:rPr>
          <w:rFonts w:ascii="Arial Narrow" w:hAnsi="Arial Narrow" w:cs="Times New Roman"/>
          <w:b/>
          <w:i/>
          <w:sz w:val="24"/>
          <w:szCs w:val="24"/>
        </w:rPr>
        <w:t>Notas a los Estados Financieros Presupuestales</w:t>
      </w:r>
    </w:p>
    <w:p w14:paraId="15E1B3EF" w14:textId="3E9B7467" w:rsidR="009F6961" w:rsidRDefault="00D70EFA" w:rsidP="00063352">
      <w:pPr>
        <w:spacing w:after="0" w:line="276" w:lineRule="auto"/>
        <w:jc w:val="center"/>
        <w:rPr>
          <w:rFonts w:ascii="Arial Narrow" w:hAnsi="Arial Narrow" w:cs="Times New Roman"/>
          <w:b/>
          <w:i/>
          <w:sz w:val="24"/>
          <w:szCs w:val="24"/>
        </w:rPr>
      </w:pPr>
      <w:r w:rsidRPr="00A43B16">
        <w:rPr>
          <w:rFonts w:ascii="Arial Narrow" w:hAnsi="Arial Narrow" w:cs="Times New Roman"/>
          <w:b/>
          <w:i/>
          <w:sz w:val="24"/>
          <w:szCs w:val="24"/>
        </w:rPr>
        <w:t xml:space="preserve">Ejercicio </w:t>
      </w:r>
      <w:r w:rsidR="009F6961" w:rsidRPr="00A43B16">
        <w:rPr>
          <w:rFonts w:ascii="Arial Narrow" w:hAnsi="Arial Narrow" w:cs="Times New Roman"/>
          <w:b/>
          <w:i/>
          <w:sz w:val="24"/>
          <w:szCs w:val="24"/>
        </w:rPr>
        <w:t>20</w:t>
      </w:r>
      <w:r w:rsidR="006C56F9" w:rsidRPr="00A43B16">
        <w:rPr>
          <w:rFonts w:ascii="Arial Narrow" w:hAnsi="Arial Narrow" w:cs="Times New Roman"/>
          <w:b/>
          <w:i/>
          <w:sz w:val="24"/>
          <w:szCs w:val="24"/>
        </w:rPr>
        <w:t>23</w:t>
      </w:r>
    </w:p>
    <w:p w14:paraId="6CCD7559" w14:textId="77777777" w:rsidR="00380F68" w:rsidRDefault="00380F68" w:rsidP="00063352">
      <w:pPr>
        <w:spacing w:after="0" w:line="276" w:lineRule="auto"/>
        <w:jc w:val="center"/>
        <w:rPr>
          <w:rFonts w:ascii="Arial Narrow" w:hAnsi="Arial Narrow" w:cs="Times New Roman"/>
          <w:b/>
          <w:i/>
          <w:sz w:val="24"/>
          <w:szCs w:val="24"/>
        </w:rPr>
      </w:pPr>
    </w:p>
    <w:p w14:paraId="0D0E6ABE" w14:textId="402DFDED" w:rsidR="00A43B16" w:rsidRDefault="00A43B16" w:rsidP="00063352">
      <w:pPr>
        <w:spacing w:after="0" w:line="276" w:lineRule="auto"/>
        <w:jc w:val="center"/>
        <w:rPr>
          <w:rFonts w:ascii="Arial Narrow" w:hAnsi="Arial Narrow" w:cs="Times New Roman"/>
          <w:b/>
          <w:i/>
          <w:sz w:val="24"/>
          <w:szCs w:val="24"/>
          <w:u w:val="single"/>
        </w:rPr>
      </w:pPr>
      <w:r w:rsidRPr="00A43B16">
        <w:rPr>
          <w:rFonts w:ascii="Arial Narrow" w:hAnsi="Arial Narrow" w:cs="Times New Roman"/>
          <w:b/>
          <w:i/>
          <w:sz w:val="24"/>
          <w:szCs w:val="24"/>
          <w:u w:val="single"/>
        </w:rPr>
        <w:t>Mes de</w:t>
      </w:r>
      <w:r w:rsidR="00B65C5D">
        <w:rPr>
          <w:rFonts w:ascii="Arial Narrow" w:hAnsi="Arial Narrow" w:cs="Times New Roman"/>
          <w:b/>
          <w:i/>
          <w:sz w:val="24"/>
          <w:szCs w:val="24"/>
          <w:u w:val="single"/>
        </w:rPr>
        <w:t xml:space="preserve"> </w:t>
      </w:r>
      <w:r w:rsidR="00FF68C0">
        <w:rPr>
          <w:rFonts w:ascii="Arial Narrow" w:hAnsi="Arial Narrow" w:cs="Times New Roman"/>
          <w:b/>
          <w:i/>
          <w:sz w:val="24"/>
          <w:szCs w:val="24"/>
          <w:u w:val="single"/>
        </w:rPr>
        <w:t>Dic</w:t>
      </w:r>
      <w:r w:rsidR="00B65C5D">
        <w:rPr>
          <w:rFonts w:ascii="Arial Narrow" w:hAnsi="Arial Narrow" w:cs="Times New Roman"/>
          <w:b/>
          <w:i/>
          <w:sz w:val="24"/>
          <w:szCs w:val="24"/>
          <w:u w:val="single"/>
        </w:rPr>
        <w:t>iem</w:t>
      </w:r>
      <w:r w:rsidR="00174B53">
        <w:rPr>
          <w:rFonts w:ascii="Arial Narrow" w:hAnsi="Arial Narrow" w:cs="Times New Roman"/>
          <w:b/>
          <w:i/>
          <w:sz w:val="24"/>
          <w:szCs w:val="24"/>
          <w:u w:val="single"/>
        </w:rPr>
        <w:t>bre</w:t>
      </w:r>
    </w:p>
    <w:p w14:paraId="40BBBC09" w14:textId="77777777" w:rsidR="00380F68" w:rsidRPr="00A43B16" w:rsidRDefault="00380F68" w:rsidP="00063352">
      <w:pPr>
        <w:spacing w:after="0" w:line="276" w:lineRule="auto"/>
        <w:jc w:val="center"/>
        <w:rPr>
          <w:rFonts w:ascii="Arial Narrow" w:hAnsi="Arial Narrow" w:cs="Times New Roman"/>
          <w:b/>
          <w:i/>
          <w:sz w:val="24"/>
          <w:szCs w:val="24"/>
          <w:u w:val="single"/>
        </w:rPr>
      </w:pPr>
    </w:p>
    <w:p w14:paraId="7D21A5E1" w14:textId="2662A5FE" w:rsidR="009F6961" w:rsidRPr="009A59B7" w:rsidRDefault="009F6961" w:rsidP="00063352">
      <w:pPr>
        <w:tabs>
          <w:tab w:val="left" w:pos="2970"/>
          <w:tab w:val="center" w:pos="4419"/>
        </w:tabs>
        <w:spacing w:line="276" w:lineRule="auto"/>
        <w:rPr>
          <w:rFonts w:ascii="Arial Narrow" w:hAnsi="Arial Narrow" w:cs="Times New Roman"/>
          <w:b/>
          <w:sz w:val="24"/>
          <w:szCs w:val="24"/>
        </w:rPr>
      </w:pPr>
      <w:r w:rsidRPr="009A59B7">
        <w:rPr>
          <w:rFonts w:ascii="Arial Narrow" w:hAnsi="Arial Narrow" w:cs="Times New Roman"/>
          <w:b/>
          <w:sz w:val="24"/>
          <w:szCs w:val="24"/>
        </w:rPr>
        <w:t>Estado Analítico de Ingresos</w:t>
      </w:r>
    </w:p>
    <w:p w14:paraId="0EE5A50C" w14:textId="473688C0" w:rsidR="009A59B7" w:rsidRDefault="00476CEC" w:rsidP="009A59B7">
      <w:pPr>
        <w:tabs>
          <w:tab w:val="left" w:pos="2970"/>
          <w:tab w:val="center" w:pos="4419"/>
        </w:tabs>
        <w:spacing w:line="276" w:lineRule="auto"/>
        <w:jc w:val="both"/>
        <w:rPr>
          <w:rFonts w:ascii="Arial Narrow" w:hAnsi="Arial Narrow" w:cs="Times New Roman"/>
          <w:sz w:val="24"/>
          <w:szCs w:val="24"/>
        </w:rPr>
      </w:pPr>
      <w:r w:rsidRPr="009A59B7">
        <w:rPr>
          <w:rFonts w:ascii="Arial Narrow" w:hAnsi="Arial Narrow" w:cs="Times New Roman"/>
          <w:sz w:val="24"/>
          <w:szCs w:val="24"/>
        </w:rPr>
        <w:t xml:space="preserve">Para el ejercicio </w:t>
      </w:r>
      <w:r w:rsidR="006C56F9">
        <w:rPr>
          <w:rFonts w:ascii="Arial Narrow" w:hAnsi="Arial Narrow" w:cs="Times New Roman"/>
          <w:sz w:val="24"/>
          <w:szCs w:val="24"/>
        </w:rPr>
        <w:t>2023</w:t>
      </w:r>
      <w:r w:rsidRPr="009A59B7">
        <w:rPr>
          <w:rFonts w:ascii="Arial Narrow" w:hAnsi="Arial Narrow" w:cs="Times New Roman"/>
          <w:sz w:val="24"/>
          <w:szCs w:val="24"/>
        </w:rPr>
        <w:t xml:space="preserve"> se aprobó un presupuesto </w:t>
      </w:r>
      <w:r w:rsidR="00957A70" w:rsidRPr="009A59B7">
        <w:rPr>
          <w:rFonts w:ascii="Arial Narrow" w:hAnsi="Arial Narrow" w:cs="Times New Roman"/>
          <w:sz w:val="24"/>
          <w:szCs w:val="24"/>
        </w:rPr>
        <w:t xml:space="preserve">al Poder Judicial </w:t>
      </w:r>
      <w:r w:rsidRPr="009A59B7">
        <w:rPr>
          <w:rFonts w:ascii="Arial Narrow" w:hAnsi="Arial Narrow" w:cs="Times New Roman"/>
          <w:sz w:val="24"/>
          <w:szCs w:val="24"/>
        </w:rPr>
        <w:t>por la cantidad de $</w:t>
      </w:r>
      <w:r w:rsidR="00CC70E2" w:rsidRPr="009A59B7">
        <w:rPr>
          <w:rFonts w:ascii="Arial Narrow" w:hAnsi="Arial Narrow" w:cs="Times New Roman"/>
          <w:sz w:val="24"/>
          <w:szCs w:val="24"/>
        </w:rPr>
        <w:t>1,</w:t>
      </w:r>
      <w:r w:rsidR="006C56F9">
        <w:rPr>
          <w:rFonts w:ascii="Arial Narrow" w:hAnsi="Arial Narrow" w:cs="Times New Roman"/>
          <w:sz w:val="24"/>
          <w:szCs w:val="24"/>
        </w:rPr>
        <w:t>639,087,913</w:t>
      </w:r>
      <w:r w:rsidR="00F50BC6" w:rsidRPr="009A59B7">
        <w:rPr>
          <w:rFonts w:ascii="Arial Narrow" w:hAnsi="Arial Narrow" w:cs="Times New Roman"/>
          <w:sz w:val="24"/>
          <w:szCs w:val="24"/>
        </w:rPr>
        <w:t>.00</w:t>
      </w:r>
      <w:r w:rsidR="00D02602" w:rsidRPr="009A59B7">
        <w:rPr>
          <w:rFonts w:ascii="Arial Narrow" w:hAnsi="Arial Narrow" w:cs="Times New Roman"/>
          <w:sz w:val="24"/>
          <w:szCs w:val="24"/>
        </w:rPr>
        <w:t xml:space="preserve"> (</w:t>
      </w:r>
      <w:proofErr w:type="gramStart"/>
      <w:r w:rsidR="00B65C5D">
        <w:rPr>
          <w:rFonts w:ascii="Arial Narrow" w:hAnsi="Arial Narrow" w:cs="Times New Roman"/>
          <w:sz w:val="24"/>
          <w:szCs w:val="24"/>
        </w:rPr>
        <w:t>U</w:t>
      </w:r>
      <w:r w:rsidR="00D02602" w:rsidRPr="009A59B7">
        <w:rPr>
          <w:rFonts w:ascii="Arial Narrow" w:hAnsi="Arial Narrow" w:cs="Times New Roman"/>
          <w:sz w:val="24"/>
          <w:szCs w:val="24"/>
        </w:rPr>
        <w:t xml:space="preserve">n mil </w:t>
      </w:r>
      <w:r w:rsidR="006C56F9">
        <w:rPr>
          <w:rFonts w:ascii="Arial Narrow" w:hAnsi="Arial Narrow" w:cs="Times New Roman"/>
          <w:sz w:val="24"/>
          <w:szCs w:val="24"/>
        </w:rPr>
        <w:t>seisci</w:t>
      </w:r>
      <w:r w:rsidR="007B4831" w:rsidRPr="009A59B7">
        <w:rPr>
          <w:rFonts w:ascii="Arial Narrow" w:hAnsi="Arial Narrow" w:cs="Times New Roman"/>
          <w:sz w:val="24"/>
          <w:szCs w:val="24"/>
        </w:rPr>
        <w:t>entos t</w:t>
      </w:r>
      <w:r w:rsidR="006C56F9">
        <w:rPr>
          <w:rFonts w:ascii="Arial Narrow" w:hAnsi="Arial Narrow" w:cs="Times New Roman"/>
          <w:sz w:val="24"/>
          <w:szCs w:val="24"/>
        </w:rPr>
        <w:t>reinta y nueve</w:t>
      </w:r>
      <w:r w:rsidR="007B4831" w:rsidRPr="009A59B7">
        <w:rPr>
          <w:rFonts w:ascii="Arial Narrow" w:hAnsi="Arial Narrow" w:cs="Times New Roman"/>
          <w:sz w:val="24"/>
          <w:szCs w:val="24"/>
        </w:rPr>
        <w:t xml:space="preserve"> </w:t>
      </w:r>
      <w:r w:rsidR="001B07C9" w:rsidRPr="009A59B7">
        <w:rPr>
          <w:rFonts w:ascii="Arial Narrow" w:hAnsi="Arial Narrow" w:cs="Times New Roman"/>
          <w:sz w:val="24"/>
          <w:szCs w:val="24"/>
        </w:rPr>
        <w:t>millones</w:t>
      </w:r>
      <w:proofErr w:type="gramEnd"/>
      <w:r w:rsidR="001B07C9" w:rsidRPr="009A59B7">
        <w:rPr>
          <w:rFonts w:ascii="Arial Narrow" w:hAnsi="Arial Narrow" w:cs="Times New Roman"/>
          <w:sz w:val="24"/>
          <w:szCs w:val="24"/>
        </w:rPr>
        <w:t xml:space="preserve"> </w:t>
      </w:r>
      <w:r w:rsidR="006C56F9">
        <w:rPr>
          <w:rFonts w:ascii="Arial Narrow" w:hAnsi="Arial Narrow" w:cs="Times New Roman"/>
          <w:sz w:val="24"/>
          <w:szCs w:val="24"/>
        </w:rPr>
        <w:t>ochenta y siete</w:t>
      </w:r>
      <w:r w:rsidR="001B07C9" w:rsidRPr="009A59B7">
        <w:rPr>
          <w:rFonts w:ascii="Arial Narrow" w:hAnsi="Arial Narrow" w:cs="Times New Roman"/>
          <w:sz w:val="24"/>
          <w:szCs w:val="24"/>
        </w:rPr>
        <w:t xml:space="preserve"> mil </w:t>
      </w:r>
      <w:r w:rsidR="006C56F9">
        <w:rPr>
          <w:rFonts w:ascii="Arial Narrow" w:hAnsi="Arial Narrow" w:cs="Times New Roman"/>
          <w:sz w:val="24"/>
          <w:szCs w:val="24"/>
        </w:rPr>
        <w:t xml:space="preserve">novecientos trece </w:t>
      </w:r>
      <w:r w:rsidR="00CC70E2" w:rsidRPr="009A59B7">
        <w:rPr>
          <w:rFonts w:ascii="Arial Narrow" w:hAnsi="Arial Narrow" w:cs="Times New Roman"/>
          <w:sz w:val="24"/>
          <w:szCs w:val="24"/>
        </w:rPr>
        <w:t xml:space="preserve">pesos 00/100 </w:t>
      </w:r>
      <w:r w:rsidR="00307D69" w:rsidRPr="009A59B7">
        <w:rPr>
          <w:rFonts w:ascii="Arial Narrow" w:hAnsi="Arial Narrow" w:cs="Times New Roman"/>
          <w:sz w:val="24"/>
          <w:szCs w:val="24"/>
        </w:rPr>
        <w:t xml:space="preserve">M.N.), </w:t>
      </w:r>
      <w:r w:rsidR="00CC70E2" w:rsidRPr="009A59B7">
        <w:rPr>
          <w:rFonts w:ascii="Arial Narrow" w:hAnsi="Arial Narrow" w:cs="Times New Roman"/>
          <w:sz w:val="24"/>
          <w:szCs w:val="24"/>
        </w:rPr>
        <w:t xml:space="preserve">al mes de </w:t>
      </w:r>
      <w:r w:rsidR="00FF68C0">
        <w:rPr>
          <w:rFonts w:ascii="Arial Narrow" w:hAnsi="Arial Narrow" w:cs="Times New Roman"/>
          <w:sz w:val="24"/>
          <w:szCs w:val="24"/>
        </w:rPr>
        <w:t>dic</w:t>
      </w:r>
      <w:r w:rsidR="00B65C5D">
        <w:rPr>
          <w:rFonts w:ascii="Arial Narrow" w:hAnsi="Arial Narrow" w:cs="Times New Roman"/>
          <w:sz w:val="24"/>
          <w:szCs w:val="24"/>
        </w:rPr>
        <w:t>iem</w:t>
      </w:r>
      <w:r w:rsidR="00174B53">
        <w:rPr>
          <w:rFonts w:ascii="Arial Narrow" w:hAnsi="Arial Narrow" w:cs="Times New Roman"/>
          <w:sz w:val="24"/>
          <w:szCs w:val="24"/>
        </w:rPr>
        <w:t>bre</w:t>
      </w:r>
      <w:r w:rsidR="00E14295" w:rsidRPr="009A59B7">
        <w:rPr>
          <w:rFonts w:ascii="Arial Narrow" w:hAnsi="Arial Narrow" w:cs="Times New Roman"/>
          <w:sz w:val="24"/>
          <w:szCs w:val="24"/>
        </w:rPr>
        <w:t xml:space="preserve"> se recaudó </w:t>
      </w:r>
      <w:r w:rsidR="00E636BB" w:rsidRPr="00882E44">
        <w:rPr>
          <w:rFonts w:ascii="Arial Narrow" w:hAnsi="Arial Narrow" w:cs="Times New Roman"/>
          <w:sz w:val="24"/>
          <w:szCs w:val="24"/>
        </w:rPr>
        <w:t xml:space="preserve">el </w:t>
      </w:r>
      <w:r w:rsidR="00FF68C0">
        <w:rPr>
          <w:rFonts w:ascii="Arial Narrow" w:hAnsi="Arial Narrow" w:cs="Times New Roman"/>
          <w:sz w:val="24"/>
          <w:szCs w:val="24"/>
        </w:rPr>
        <w:t>100</w:t>
      </w:r>
      <w:r w:rsidR="00882E44" w:rsidRPr="00882E44">
        <w:rPr>
          <w:rFonts w:ascii="Arial Narrow" w:hAnsi="Arial Narrow" w:cs="Times New Roman"/>
          <w:sz w:val="24"/>
          <w:szCs w:val="24"/>
        </w:rPr>
        <w:t xml:space="preserve"> </w:t>
      </w:r>
      <w:r w:rsidR="00E636BB" w:rsidRPr="00882E44">
        <w:rPr>
          <w:rFonts w:ascii="Arial Narrow" w:hAnsi="Arial Narrow" w:cs="Times New Roman"/>
          <w:sz w:val="24"/>
          <w:szCs w:val="24"/>
        </w:rPr>
        <w:t>% de</w:t>
      </w:r>
      <w:r w:rsidR="00E636BB">
        <w:rPr>
          <w:rFonts w:ascii="Arial Narrow" w:hAnsi="Arial Narrow" w:cs="Times New Roman"/>
          <w:sz w:val="24"/>
          <w:szCs w:val="24"/>
        </w:rPr>
        <w:t xml:space="preserve"> los recursos</w:t>
      </w:r>
      <w:r w:rsidR="00F576BD" w:rsidRPr="00ED3BFF">
        <w:rPr>
          <w:rFonts w:ascii="Arial Narrow" w:hAnsi="Arial Narrow" w:cs="Times New Roman"/>
          <w:sz w:val="24"/>
          <w:szCs w:val="24"/>
        </w:rPr>
        <w:t xml:space="preserve"> aprobados de acuerdo al calendario de obras y acc</w:t>
      </w:r>
      <w:r w:rsidR="00E636BB">
        <w:rPr>
          <w:rFonts w:ascii="Arial Narrow" w:hAnsi="Arial Narrow" w:cs="Times New Roman"/>
          <w:sz w:val="24"/>
          <w:szCs w:val="24"/>
        </w:rPr>
        <w:t>iones para el ejercicio fiscal.</w:t>
      </w:r>
      <w:r w:rsidR="00100803">
        <w:rPr>
          <w:rFonts w:ascii="Arial Narrow" w:hAnsi="Arial Narrow" w:cs="Times New Roman"/>
          <w:sz w:val="24"/>
          <w:szCs w:val="24"/>
        </w:rPr>
        <w:t xml:space="preserve"> </w:t>
      </w:r>
    </w:p>
    <w:p w14:paraId="3CA7BF37" w14:textId="77777777" w:rsidR="00380F68" w:rsidRDefault="00380F68" w:rsidP="009A59B7">
      <w:pPr>
        <w:tabs>
          <w:tab w:val="left" w:pos="2970"/>
          <w:tab w:val="center" w:pos="4419"/>
        </w:tabs>
        <w:spacing w:line="276" w:lineRule="auto"/>
        <w:jc w:val="both"/>
        <w:rPr>
          <w:rFonts w:ascii="Arial Narrow" w:hAnsi="Arial Narrow" w:cs="Times New Roman"/>
          <w:sz w:val="24"/>
          <w:szCs w:val="24"/>
        </w:rPr>
      </w:pPr>
    </w:p>
    <w:p w14:paraId="3EAAC481" w14:textId="0A5F6D7C" w:rsidR="00065A09" w:rsidRDefault="00065A09" w:rsidP="009A59B7">
      <w:pPr>
        <w:tabs>
          <w:tab w:val="left" w:pos="2970"/>
          <w:tab w:val="center" w:pos="4419"/>
        </w:tabs>
        <w:spacing w:line="276" w:lineRule="auto"/>
        <w:jc w:val="both"/>
        <w:rPr>
          <w:rFonts w:ascii="Arial Narrow" w:hAnsi="Arial Narrow" w:cs="Times New Roman"/>
          <w:sz w:val="24"/>
          <w:szCs w:val="24"/>
        </w:rPr>
      </w:pPr>
      <w:r>
        <w:rPr>
          <w:rFonts w:ascii="Arial Narrow" w:hAnsi="Arial Narrow" w:cs="Times New Roman"/>
          <w:sz w:val="24"/>
          <w:szCs w:val="24"/>
        </w:rPr>
        <w:t xml:space="preserve">En el mes de agosto se efectuó la ampliación </w:t>
      </w:r>
      <w:r w:rsidR="008C3000">
        <w:rPr>
          <w:rFonts w:ascii="Arial Narrow" w:hAnsi="Arial Narrow" w:cs="Times New Roman"/>
          <w:sz w:val="24"/>
          <w:szCs w:val="24"/>
        </w:rPr>
        <w:t>liquida al presupuesto</w:t>
      </w:r>
      <w:r>
        <w:rPr>
          <w:rFonts w:ascii="Arial Narrow" w:hAnsi="Arial Narrow" w:cs="Times New Roman"/>
          <w:sz w:val="24"/>
          <w:szCs w:val="24"/>
        </w:rPr>
        <w:t xml:space="preserve"> </w:t>
      </w:r>
      <w:r w:rsidR="00700263">
        <w:rPr>
          <w:rFonts w:ascii="Arial Narrow" w:hAnsi="Arial Narrow" w:cs="Times New Roman"/>
          <w:sz w:val="24"/>
          <w:szCs w:val="24"/>
        </w:rPr>
        <w:t xml:space="preserve">con fuente de financiamiento de recursos propios </w:t>
      </w:r>
      <w:r>
        <w:rPr>
          <w:rFonts w:ascii="Arial Narrow" w:hAnsi="Arial Narrow" w:cs="Times New Roman"/>
          <w:sz w:val="24"/>
          <w:szCs w:val="24"/>
        </w:rPr>
        <w:t>p</w:t>
      </w:r>
      <w:r w:rsidR="00700263">
        <w:rPr>
          <w:rFonts w:ascii="Arial Narrow" w:hAnsi="Arial Narrow" w:cs="Times New Roman"/>
          <w:sz w:val="24"/>
          <w:szCs w:val="24"/>
        </w:rPr>
        <w:t xml:space="preserve">rovenientes del Fondo Auxiliar para la Administración de Justicia del Estado de Michoacán de Ocampo por </w:t>
      </w:r>
      <w:r>
        <w:rPr>
          <w:rFonts w:ascii="Arial Narrow" w:hAnsi="Arial Narrow" w:cs="Times New Roman"/>
          <w:sz w:val="24"/>
          <w:szCs w:val="24"/>
        </w:rPr>
        <w:t xml:space="preserve">un importe de $ 30,763,474.02 </w:t>
      </w:r>
      <w:r w:rsidR="00700263">
        <w:rPr>
          <w:rFonts w:ascii="Arial Narrow" w:hAnsi="Arial Narrow" w:cs="Times New Roman"/>
          <w:sz w:val="24"/>
          <w:szCs w:val="24"/>
        </w:rPr>
        <w:t>(</w:t>
      </w:r>
      <w:r w:rsidR="00B65C5D">
        <w:rPr>
          <w:rFonts w:ascii="Arial Narrow" w:hAnsi="Arial Narrow" w:cs="Times New Roman"/>
          <w:sz w:val="24"/>
          <w:szCs w:val="24"/>
        </w:rPr>
        <w:t>T</w:t>
      </w:r>
      <w:r w:rsidR="00700263">
        <w:rPr>
          <w:rFonts w:ascii="Arial Narrow" w:hAnsi="Arial Narrow" w:cs="Times New Roman"/>
          <w:sz w:val="24"/>
          <w:szCs w:val="24"/>
        </w:rPr>
        <w:t>reinta millones setecientos sesenta y tres mil cuatrocientos setenta y cuatro pesos 02/100 M.N.) autorizada por el H. Pleno del Consejo del Poder Judicial en sesión ordinaria del día 20 de julio de 2023, importe del cual se recaudó el 100% al cierre del mes</w:t>
      </w:r>
      <w:r w:rsidR="00174B53">
        <w:rPr>
          <w:rFonts w:ascii="Arial Narrow" w:hAnsi="Arial Narrow" w:cs="Times New Roman"/>
          <w:sz w:val="24"/>
          <w:szCs w:val="24"/>
        </w:rPr>
        <w:t xml:space="preserve"> de agosto</w:t>
      </w:r>
      <w:r w:rsidR="00700263">
        <w:rPr>
          <w:rFonts w:ascii="Arial Narrow" w:hAnsi="Arial Narrow" w:cs="Times New Roman"/>
          <w:sz w:val="24"/>
          <w:szCs w:val="24"/>
        </w:rPr>
        <w:t>.</w:t>
      </w:r>
    </w:p>
    <w:p w14:paraId="09F7F2FC" w14:textId="77777777" w:rsidR="00380F68" w:rsidRDefault="00380F68" w:rsidP="009A59B7">
      <w:pPr>
        <w:tabs>
          <w:tab w:val="left" w:pos="2970"/>
          <w:tab w:val="center" w:pos="4419"/>
        </w:tabs>
        <w:spacing w:line="276" w:lineRule="auto"/>
        <w:jc w:val="both"/>
        <w:rPr>
          <w:rFonts w:ascii="Arial Narrow" w:hAnsi="Arial Narrow" w:cs="Times New Roman"/>
          <w:sz w:val="24"/>
          <w:szCs w:val="24"/>
        </w:rPr>
      </w:pPr>
    </w:p>
    <w:p w14:paraId="5277AE35" w14:textId="54629D6E" w:rsidR="00174B53" w:rsidRDefault="00174B53" w:rsidP="009A59B7">
      <w:pPr>
        <w:tabs>
          <w:tab w:val="left" w:pos="2970"/>
          <w:tab w:val="center" w:pos="4419"/>
        </w:tabs>
        <w:spacing w:line="276" w:lineRule="auto"/>
        <w:jc w:val="both"/>
        <w:rPr>
          <w:rFonts w:ascii="Arial Narrow" w:hAnsi="Arial Narrow" w:cs="Times New Roman"/>
          <w:sz w:val="24"/>
          <w:szCs w:val="24"/>
        </w:rPr>
      </w:pPr>
      <w:r>
        <w:rPr>
          <w:rFonts w:ascii="Arial Narrow" w:hAnsi="Arial Narrow" w:cs="Times New Roman"/>
          <w:sz w:val="24"/>
          <w:szCs w:val="24"/>
        </w:rPr>
        <w:t xml:space="preserve">En el mes de septiembre se efectuó la ampliación liquida al presupuesto con fuente de financiamiento de recursos propios provenientes del Fondo Auxiliar para la Administración de Justicia del Estado de Michoacán de Ocampo por un importe de $ </w:t>
      </w:r>
      <w:r w:rsidRPr="00174B53">
        <w:rPr>
          <w:rFonts w:ascii="Arial Narrow" w:hAnsi="Arial Narrow" w:cs="Times New Roman"/>
          <w:sz w:val="24"/>
          <w:szCs w:val="24"/>
        </w:rPr>
        <w:t xml:space="preserve">45,403.73 </w:t>
      </w:r>
      <w:r>
        <w:rPr>
          <w:rFonts w:ascii="Arial Narrow" w:hAnsi="Arial Narrow" w:cs="Times New Roman"/>
          <w:sz w:val="24"/>
          <w:szCs w:val="24"/>
        </w:rPr>
        <w:t>(</w:t>
      </w:r>
      <w:r w:rsidR="00B65C5D">
        <w:rPr>
          <w:rFonts w:ascii="Arial Narrow" w:hAnsi="Arial Narrow" w:cs="Times New Roman"/>
          <w:sz w:val="24"/>
          <w:szCs w:val="24"/>
        </w:rPr>
        <w:t>C</w:t>
      </w:r>
      <w:r>
        <w:rPr>
          <w:rFonts w:ascii="Arial Narrow" w:hAnsi="Arial Narrow" w:cs="Times New Roman"/>
          <w:sz w:val="24"/>
          <w:szCs w:val="24"/>
        </w:rPr>
        <w:t>uarenta y cinco mil cuatrocientos tres pesos 73/100 M.N.) autorizada por el H. Pleno del Consejo del Poder Judicial en sesión extraordinaria del día 21 de septiembre de 2023, importe del cual se recaudó el 100% al cierre del mes de septiembre.</w:t>
      </w:r>
    </w:p>
    <w:p w14:paraId="663E695D" w14:textId="77777777" w:rsidR="00F01C99" w:rsidRDefault="00F01C99" w:rsidP="009A59B7">
      <w:pPr>
        <w:tabs>
          <w:tab w:val="left" w:pos="2970"/>
          <w:tab w:val="center" w:pos="4419"/>
        </w:tabs>
        <w:spacing w:line="276" w:lineRule="auto"/>
        <w:jc w:val="both"/>
        <w:rPr>
          <w:rFonts w:ascii="Arial Narrow" w:hAnsi="Arial Narrow" w:cs="Times New Roman"/>
          <w:sz w:val="24"/>
          <w:szCs w:val="24"/>
        </w:rPr>
      </w:pPr>
    </w:p>
    <w:p w14:paraId="6A04ED9B" w14:textId="58B249CF" w:rsidR="00380F68" w:rsidRDefault="006B38D1" w:rsidP="009A59B7">
      <w:pPr>
        <w:tabs>
          <w:tab w:val="left" w:pos="2970"/>
          <w:tab w:val="center" w:pos="4419"/>
        </w:tabs>
        <w:spacing w:line="276" w:lineRule="auto"/>
        <w:jc w:val="both"/>
        <w:rPr>
          <w:rFonts w:ascii="Arial Narrow" w:hAnsi="Arial Narrow" w:cs="Times New Roman"/>
          <w:sz w:val="24"/>
          <w:szCs w:val="24"/>
        </w:rPr>
      </w:pPr>
      <w:r>
        <w:rPr>
          <w:rFonts w:ascii="Arial Narrow" w:hAnsi="Arial Narrow" w:cs="Times New Roman"/>
          <w:sz w:val="24"/>
          <w:szCs w:val="24"/>
        </w:rPr>
        <w:t xml:space="preserve">En el mes de diciembre se realizó una reducción líquida a los recursos propios provenientes del Fondo Auxiliar para la Administración de Justicia del Estado de Michoacán de Ocampo por un monto de </w:t>
      </w:r>
      <w:r w:rsidRPr="006B38D1">
        <w:rPr>
          <w:rFonts w:ascii="Arial Narrow" w:hAnsi="Arial Narrow" w:cs="Times New Roman"/>
          <w:sz w:val="24"/>
          <w:szCs w:val="24"/>
        </w:rPr>
        <w:t>$4,313.61</w:t>
      </w:r>
      <w:r>
        <w:rPr>
          <w:rFonts w:ascii="Arial Narrow" w:hAnsi="Arial Narrow" w:cs="Times New Roman"/>
          <w:sz w:val="24"/>
          <w:szCs w:val="24"/>
        </w:rPr>
        <w:t xml:space="preserve"> (Cuatro mil trescientos trece pesos 61/100 M.N.) autorizada por el H. Pleno del Consejo del Poder Judicial </w:t>
      </w:r>
      <w:r w:rsidRPr="007E741E">
        <w:rPr>
          <w:rFonts w:ascii="Arial Narrow" w:hAnsi="Arial Narrow" w:cs="Times New Roman"/>
          <w:sz w:val="24"/>
          <w:szCs w:val="24"/>
        </w:rPr>
        <w:t xml:space="preserve">en sesión ordinaria del día </w:t>
      </w:r>
      <w:r w:rsidR="007E741E" w:rsidRPr="007E741E">
        <w:rPr>
          <w:rFonts w:ascii="Arial Narrow" w:hAnsi="Arial Narrow" w:cs="Times New Roman"/>
          <w:sz w:val="24"/>
          <w:szCs w:val="24"/>
        </w:rPr>
        <w:t>06</w:t>
      </w:r>
      <w:r w:rsidRPr="007E741E">
        <w:rPr>
          <w:rFonts w:ascii="Arial Narrow" w:hAnsi="Arial Narrow" w:cs="Times New Roman"/>
          <w:sz w:val="24"/>
          <w:szCs w:val="24"/>
        </w:rPr>
        <w:t xml:space="preserve"> de </w:t>
      </w:r>
      <w:r w:rsidR="007E741E" w:rsidRPr="007E741E">
        <w:rPr>
          <w:rFonts w:ascii="Arial Narrow" w:hAnsi="Arial Narrow" w:cs="Times New Roman"/>
          <w:sz w:val="24"/>
          <w:szCs w:val="24"/>
        </w:rPr>
        <w:t>dic</w:t>
      </w:r>
      <w:r w:rsidRPr="007E741E">
        <w:rPr>
          <w:rFonts w:ascii="Arial Narrow" w:hAnsi="Arial Narrow" w:cs="Times New Roman"/>
          <w:sz w:val="24"/>
          <w:szCs w:val="24"/>
        </w:rPr>
        <w:t>iembre de 2023.</w:t>
      </w:r>
    </w:p>
    <w:p w14:paraId="0B945C13" w14:textId="77777777" w:rsidR="00380F68" w:rsidRPr="009A59B7" w:rsidRDefault="00380F68" w:rsidP="009A59B7">
      <w:pPr>
        <w:tabs>
          <w:tab w:val="left" w:pos="2970"/>
          <w:tab w:val="center" w:pos="4419"/>
        </w:tabs>
        <w:spacing w:line="276" w:lineRule="auto"/>
        <w:jc w:val="both"/>
        <w:rPr>
          <w:rFonts w:ascii="Arial Narrow" w:hAnsi="Arial Narrow" w:cs="Times New Roman"/>
          <w:sz w:val="24"/>
          <w:szCs w:val="24"/>
        </w:rPr>
      </w:pPr>
    </w:p>
    <w:p w14:paraId="70647CA6" w14:textId="77777777" w:rsidR="00B558F9" w:rsidRPr="009A59B7" w:rsidRDefault="006806D7" w:rsidP="004F6DA6">
      <w:pPr>
        <w:spacing w:line="360" w:lineRule="auto"/>
        <w:jc w:val="both"/>
        <w:rPr>
          <w:rFonts w:ascii="Arial Narrow" w:hAnsi="Arial Narrow" w:cs="Times New Roman"/>
          <w:b/>
          <w:sz w:val="24"/>
          <w:szCs w:val="24"/>
        </w:rPr>
      </w:pPr>
      <w:r>
        <w:rPr>
          <w:rFonts w:ascii="Arial Narrow" w:hAnsi="Arial Narrow" w:cs="Times New Roman"/>
          <w:b/>
          <w:sz w:val="24"/>
          <w:szCs w:val="24"/>
        </w:rPr>
        <w:t>E</w:t>
      </w:r>
      <w:r w:rsidR="00B558F9" w:rsidRPr="009A59B7">
        <w:rPr>
          <w:rFonts w:ascii="Arial Narrow" w:hAnsi="Arial Narrow" w:cs="Times New Roman"/>
          <w:b/>
          <w:sz w:val="24"/>
          <w:szCs w:val="24"/>
        </w:rPr>
        <w:t>stado Analítico del Ejercicio del Presupuesto de Egresos</w:t>
      </w:r>
    </w:p>
    <w:p w14:paraId="5A0EEFA7" w14:textId="70D59E96" w:rsidR="00E375AF" w:rsidRPr="00AD6784" w:rsidRDefault="00424F9D" w:rsidP="00AD6784">
      <w:pPr>
        <w:pStyle w:val="Ttulo2"/>
        <w:spacing w:before="0" w:beforeAutospacing="0" w:after="160" w:afterAutospacing="0" w:line="276" w:lineRule="auto"/>
        <w:jc w:val="both"/>
        <w:rPr>
          <w:rFonts w:ascii="Arial Narrow" w:eastAsiaTheme="minorHAnsi" w:hAnsi="Arial Narrow"/>
          <w:b w:val="0"/>
          <w:bCs w:val="0"/>
          <w:sz w:val="24"/>
          <w:szCs w:val="24"/>
          <w:lang w:eastAsia="en-US"/>
        </w:rPr>
      </w:pPr>
      <w:r w:rsidRPr="00AD6784">
        <w:rPr>
          <w:rFonts w:ascii="Arial Narrow" w:eastAsiaTheme="minorHAnsi" w:hAnsi="Arial Narrow"/>
          <w:b w:val="0"/>
          <w:bCs w:val="0"/>
          <w:sz w:val="24"/>
          <w:szCs w:val="24"/>
          <w:lang w:eastAsia="en-US"/>
        </w:rPr>
        <w:t>Pa</w:t>
      </w:r>
      <w:r w:rsidR="00F03B9F" w:rsidRPr="00AD6784">
        <w:rPr>
          <w:rFonts w:ascii="Arial Narrow" w:eastAsiaTheme="minorHAnsi" w:hAnsi="Arial Narrow"/>
          <w:b w:val="0"/>
          <w:bCs w:val="0"/>
          <w:sz w:val="24"/>
          <w:szCs w:val="24"/>
          <w:lang w:eastAsia="en-US"/>
        </w:rPr>
        <w:t xml:space="preserve">ra el mes de </w:t>
      </w:r>
      <w:r w:rsidR="00FF68C0">
        <w:rPr>
          <w:rFonts w:ascii="Arial Narrow" w:eastAsiaTheme="minorHAnsi" w:hAnsi="Arial Narrow"/>
          <w:b w:val="0"/>
          <w:bCs w:val="0"/>
          <w:sz w:val="24"/>
          <w:szCs w:val="24"/>
          <w:lang w:eastAsia="en-US"/>
        </w:rPr>
        <w:t>dic</w:t>
      </w:r>
      <w:r w:rsidR="00B65C5D">
        <w:rPr>
          <w:rFonts w:ascii="Arial Narrow" w:eastAsiaTheme="minorHAnsi" w:hAnsi="Arial Narrow"/>
          <w:b w:val="0"/>
          <w:bCs w:val="0"/>
          <w:sz w:val="24"/>
          <w:szCs w:val="24"/>
          <w:lang w:eastAsia="en-US"/>
        </w:rPr>
        <w:t>iem</w:t>
      </w:r>
      <w:r w:rsidR="00174B53" w:rsidRPr="00AD6784">
        <w:rPr>
          <w:rFonts w:ascii="Arial Narrow" w:eastAsiaTheme="minorHAnsi" w:hAnsi="Arial Narrow"/>
          <w:b w:val="0"/>
          <w:bCs w:val="0"/>
          <w:sz w:val="24"/>
          <w:szCs w:val="24"/>
          <w:lang w:eastAsia="en-US"/>
        </w:rPr>
        <w:t>bre</w:t>
      </w:r>
      <w:r w:rsidR="00F03B9F" w:rsidRPr="00AD6784">
        <w:rPr>
          <w:rFonts w:ascii="Arial Narrow" w:eastAsiaTheme="minorHAnsi" w:hAnsi="Arial Narrow"/>
          <w:b w:val="0"/>
          <w:bCs w:val="0"/>
          <w:sz w:val="24"/>
          <w:szCs w:val="24"/>
          <w:lang w:eastAsia="en-US"/>
        </w:rPr>
        <w:t xml:space="preserve"> </w:t>
      </w:r>
      <w:r w:rsidR="00D851FC" w:rsidRPr="00AD6784">
        <w:rPr>
          <w:rFonts w:ascii="Arial Narrow" w:eastAsiaTheme="minorHAnsi" w:hAnsi="Arial Narrow"/>
          <w:b w:val="0"/>
          <w:bCs w:val="0"/>
          <w:sz w:val="24"/>
          <w:szCs w:val="24"/>
          <w:lang w:eastAsia="en-US"/>
        </w:rPr>
        <w:t>con la</w:t>
      </w:r>
      <w:r w:rsidR="00174B53" w:rsidRPr="00AD6784">
        <w:rPr>
          <w:rFonts w:ascii="Arial Narrow" w:eastAsiaTheme="minorHAnsi" w:hAnsi="Arial Narrow"/>
          <w:b w:val="0"/>
          <w:bCs w:val="0"/>
          <w:sz w:val="24"/>
          <w:szCs w:val="24"/>
          <w:lang w:eastAsia="en-US"/>
        </w:rPr>
        <w:t>s</w:t>
      </w:r>
      <w:r w:rsidR="00D851FC" w:rsidRPr="00AD6784">
        <w:rPr>
          <w:rFonts w:ascii="Arial Narrow" w:eastAsiaTheme="minorHAnsi" w:hAnsi="Arial Narrow"/>
          <w:b w:val="0"/>
          <w:bCs w:val="0"/>
          <w:sz w:val="24"/>
          <w:szCs w:val="24"/>
          <w:lang w:eastAsia="en-US"/>
        </w:rPr>
        <w:t xml:space="preserve"> ampliaci</w:t>
      </w:r>
      <w:r w:rsidR="00174B53" w:rsidRPr="00AD6784">
        <w:rPr>
          <w:rFonts w:ascii="Arial Narrow" w:eastAsiaTheme="minorHAnsi" w:hAnsi="Arial Narrow"/>
          <w:b w:val="0"/>
          <w:bCs w:val="0"/>
          <w:sz w:val="24"/>
          <w:szCs w:val="24"/>
          <w:lang w:eastAsia="en-US"/>
        </w:rPr>
        <w:t>ones</w:t>
      </w:r>
      <w:r w:rsidR="00D851FC" w:rsidRPr="00AD6784">
        <w:rPr>
          <w:rFonts w:ascii="Arial Narrow" w:eastAsiaTheme="minorHAnsi" w:hAnsi="Arial Narrow"/>
          <w:b w:val="0"/>
          <w:bCs w:val="0"/>
          <w:sz w:val="24"/>
          <w:szCs w:val="24"/>
          <w:lang w:eastAsia="en-US"/>
        </w:rPr>
        <w:t xml:space="preserve"> líquida</w:t>
      </w:r>
      <w:r w:rsidR="00174B53" w:rsidRPr="00AD6784">
        <w:rPr>
          <w:rFonts w:ascii="Arial Narrow" w:eastAsiaTheme="minorHAnsi" w:hAnsi="Arial Narrow"/>
          <w:b w:val="0"/>
          <w:bCs w:val="0"/>
          <w:sz w:val="24"/>
          <w:szCs w:val="24"/>
          <w:lang w:eastAsia="en-US"/>
        </w:rPr>
        <w:t>s</w:t>
      </w:r>
      <w:r w:rsidR="00D851FC" w:rsidRPr="00AD6784">
        <w:rPr>
          <w:rFonts w:ascii="Arial Narrow" w:eastAsiaTheme="minorHAnsi" w:hAnsi="Arial Narrow"/>
          <w:b w:val="0"/>
          <w:bCs w:val="0"/>
          <w:sz w:val="24"/>
          <w:szCs w:val="24"/>
          <w:lang w:eastAsia="en-US"/>
        </w:rPr>
        <w:t xml:space="preserve"> al presupuesto autorizada</w:t>
      </w:r>
      <w:r w:rsidR="00C42717">
        <w:rPr>
          <w:rFonts w:ascii="Arial Narrow" w:eastAsiaTheme="minorHAnsi" w:hAnsi="Arial Narrow"/>
          <w:b w:val="0"/>
          <w:bCs w:val="0"/>
          <w:sz w:val="24"/>
          <w:szCs w:val="24"/>
          <w:lang w:eastAsia="en-US"/>
        </w:rPr>
        <w:t>s</w:t>
      </w:r>
      <w:r w:rsidR="00D851FC" w:rsidRPr="00AD6784">
        <w:rPr>
          <w:rFonts w:ascii="Arial Narrow" w:eastAsiaTheme="minorHAnsi" w:hAnsi="Arial Narrow"/>
          <w:b w:val="0"/>
          <w:bCs w:val="0"/>
          <w:sz w:val="24"/>
          <w:szCs w:val="24"/>
          <w:lang w:eastAsia="en-US"/>
        </w:rPr>
        <w:t xml:space="preserve"> para el pago del estímulo económico conforme a los artículos 14 fracción III y 15 fracciones I y II de la Ley del Fondo Auxiliar para la Administración de Justicia del Estado de Michoacán de Ocampo, </w:t>
      </w:r>
      <w:r w:rsidR="00F03B9F" w:rsidRPr="00AD6784">
        <w:rPr>
          <w:rFonts w:ascii="Arial Narrow" w:eastAsiaTheme="minorHAnsi" w:hAnsi="Arial Narrow"/>
          <w:b w:val="0"/>
          <w:bCs w:val="0"/>
          <w:sz w:val="24"/>
          <w:szCs w:val="24"/>
          <w:lang w:eastAsia="en-US"/>
        </w:rPr>
        <w:t xml:space="preserve">se </w:t>
      </w:r>
      <w:r w:rsidR="00AE5CD8" w:rsidRPr="00AD6784">
        <w:rPr>
          <w:rFonts w:ascii="Arial Narrow" w:eastAsiaTheme="minorHAnsi" w:hAnsi="Arial Narrow"/>
          <w:b w:val="0"/>
          <w:bCs w:val="0"/>
          <w:sz w:val="24"/>
          <w:szCs w:val="24"/>
          <w:lang w:eastAsia="en-US"/>
        </w:rPr>
        <w:t>presentó</w:t>
      </w:r>
      <w:r w:rsidR="00F03B9F" w:rsidRPr="00AD6784">
        <w:rPr>
          <w:rFonts w:ascii="Arial Narrow" w:eastAsiaTheme="minorHAnsi" w:hAnsi="Arial Narrow"/>
          <w:b w:val="0"/>
          <w:bCs w:val="0"/>
          <w:sz w:val="24"/>
          <w:szCs w:val="24"/>
          <w:lang w:eastAsia="en-US"/>
        </w:rPr>
        <w:t xml:space="preserve"> un presupuesto modificado </w:t>
      </w:r>
      <w:r w:rsidR="0078006B" w:rsidRPr="00AD6784">
        <w:rPr>
          <w:rFonts w:ascii="Arial Narrow" w:eastAsiaTheme="minorHAnsi" w:hAnsi="Arial Narrow"/>
          <w:b w:val="0"/>
          <w:bCs w:val="0"/>
          <w:sz w:val="24"/>
          <w:szCs w:val="24"/>
          <w:lang w:eastAsia="en-US"/>
        </w:rPr>
        <w:t xml:space="preserve">por </w:t>
      </w:r>
      <w:r w:rsidR="00F03B9F" w:rsidRPr="00AD6784">
        <w:rPr>
          <w:rFonts w:ascii="Arial Narrow" w:eastAsiaTheme="minorHAnsi" w:hAnsi="Arial Narrow"/>
          <w:b w:val="0"/>
          <w:bCs w:val="0"/>
          <w:sz w:val="24"/>
          <w:szCs w:val="24"/>
          <w:lang w:eastAsia="en-US"/>
        </w:rPr>
        <w:t>la cantidad $</w:t>
      </w:r>
      <w:r w:rsidR="004E546D">
        <w:rPr>
          <w:rFonts w:ascii="Arial Narrow" w:eastAsiaTheme="minorHAnsi" w:hAnsi="Arial Narrow"/>
          <w:b w:val="0"/>
          <w:bCs w:val="0"/>
          <w:sz w:val="24"/>
          <w:szCs w:val="24"/>
          <w:lang w:eastAsia="en-US"/>
        </w:rPr>
        <w:t xml:space="preserve"> </w:t>
      </w:r>
      <w:r w:rsidR="004E546D" w:rsidRPr="004E546D">
        <w:rPr>
          <w:rFonts w:ascii="Arial Narrow" w:eastAsiaTheme="minorHAnsi" w:hAnsi="Arial Narrow"/>
          <w:b w:val="0"/>
          <w:bCs w:val="0"/>
          <w:sz w:val="24"/>
          <w:szCs w:val="24"/>
          <w:lang w:eastAsia="en-US"/>
        </w:rPr>
        <w:t>1,</w:t>
      </w:r>
      <w:r w:rsidR="00FF68C0">
        <w:rPr>
          <w:rFonts w:ascii="Arial Narrow" w:eastAsiaTheme="minorHAnsi" w:hAnsi="Arial Narrow"/>
          <w:b w:val="0"/>
          <w:bCs w:val="0"/>
          <w:sz w:val="24"/>
          <w:szCs w:val="24"/>
          <w:lang w:eastAsia="en-US"/>
        </w:rPr>
        <w:t>669,892,477.14</w:t>
      </w:r>
      <w:r w:rsidR="00B65C5D">
        <w:rPr>
          <w:rFonts w:ascii="Arial Narrow" w:eastAsiaTheme="minorHAnsi" w:hAnsi="Arial Narrow"/>
          <w:b w:val="0"/>
          <w:bCs w:val="0"/>
          <w:sz w:val="24"/>
          <w:szCs w:val="24"/>
          <w:lang w:eastAsia="en-US"/>
        </w:rPr>
        <w:t xml:space="preserve"> </w:t>
      </w:r>
      <w:r w:rsidR="004D25E4" w:rsidRPr="00AD6784">
        <w:rPr>
          <w:rFonts w:ascii="Arial Narrow" w:eastAsiaTheme="minorHAnsi" w:hAnsi="Arial Narrow"/>
          <w:b w:val="0"/>
          <w:bCs w:val="0"/>
          <w:sz w:val="24"/>
          <w:szCs w:val="24"/>
          <w:lang w:eastAsia="en-US"/>
        </w:rPr>
        <w:t>(</w:t>
      </w:r>
      <w:r w:rsidR="00B65C5D">
        <w:rPr>
          <w:rFonts w:ascii="Arial Narrow" w:eastAsiaTheme="minorHAnsi" w:hAnsi="Arial Narrow"/>
          <w:b w:val="0"/>
          <w:bCs w:val="0"/>
          <w:sz w:val="24"/>
          <w:szCs w:val="24"/>
          <w:lang w:eastAsia="en-US"/>
        </w:rPr>
        <w:t>U</w:t>
      </w:r>
      <w:r w:rsidR="008C3000" w:rsidRPr="00AD6784">
        <w:rPr>
          <w:rFonts w:ascii="Arial Narrow" w:eastAsiaTheme="minorHAnsi" w:hAnsi="Arial Narrow"/>
          <w:b w:val="0"/>
          <w:bCs w:val="0"/>
          <w:sz w:val="24"/>
          <w:szCs w:val="24"/>
          <w:lang w:eastAsia="en-US"/>
        </w:rPr>
        <w:t xml:space="preserve">n mil </w:t>
      </w:r>
      <w:r w:rsidR="00FF68C0">
        <w:rPr>
          <w:rFonts w:ascii="Arial Narrow" w:eastAsiaTheme="minorHAnsi" w:hAnsi="Arial Narrow"/>
          <w:b w:val="0"/>
          <w:bCs w:val="0"/>
          <w:sz w:val="24"/>
          <w:szCs w:val="24"/>
          <w:lang w:eastAsia="en-US"/>
        </w:rPr>
        <w:t>seisci</w:t>
      </w:r>
      <w:r w:rsidR="00174B53" w:rsidRPr="00AD6784">
        <w:rPr>
          <w:rFonts w:ascii="Arial Narrow" w:eastAsiaTheme="minorHAnsi" w:hAnsi="Arial Narrow"/>
          <w:b w:val="0"/>
          <w:bCs w:val="0"/>
          <w:sz w:val="24"/>
          <w:szCs w:val="24"/>
          <w:lang w:eastAsia="en-US"/>
        </w:rPr>
        <w:t xml:space="preserve">entos </w:t>
      </w:r>
      <w:r w:rsidR="00FF68C0">
        <w:rPr>
          <w:rFonts w:ascii="Arial Narrow" w:eastAsiaTheme="minorHAnsi" w:hAnsi="Arial Narrow"/>
          <w:b w:val="0"/>
          <w:bCs w:val="0"/>
          <w:sz w:val="24"/>
          <w:szCs w:val="24"/>
          <w:lang w:eastAsia="en-US"/>
        </w:rPr>
        <w:t>ses</w:t>
      </w:r>
      <w:r w:rsidR="00B65C5D">
        <w:rPr>
          <w:rFonts w:ascii="Arial Narrow" w:eastAsiaTheme="minorHAnsi" w:hAnsi="Arial Narrow"/>
          <w:b w:val="0"/>
          <w:bCs w:val="0"/>
          <w:sz w:val="24"/>
          <w:szCs w:val="24"/>
          <w:lang w:eastAsia="en-US"/>
        </w:rPr>
        <w:t xml:space="preserve">enta y </w:t>
      </w:r>
      <w:r w:rsidR="00FF68C0">
        <w:rPr>
          <w:rFonts w:ascii="Arial Narrow" w:eastAsiaTheme="minorHAnsi" w:hAnsi="Arial Narrow"/>
          <w:b w:val="0"/>
          <w:bCs w:val="0"/>
          <w:sz w:val="24"/>
          <w:szCs w:val="24"/>
          <w:lang w:eastAsia="en-US"/>
        </w:rPr>
        <w:t>nueve</w:t>
      </w:r>
      <w:r w:rsidR="008C3000" w:rsidRPr="00AD6784">
        <w:rPr>
          <w:rFonts w:ascii="Arial Narrow" w:eastAsiaTheme="minorHAnsi" w:hAnsi="Arial Narrow"/>
          <w:b w:val="0"/>
          <w:bCs w:val="0"/>
          <w:sz w:val="24"/>
          <w:szCs w:val="24"/>
          <w:lang w:eastAsia="en-US"/>
        </w:rPr>
        <w:t xml:space="preserve"> millones </w:t>
      </w:r>
      <w:r w:rsidR="00FF68C0">
        <w:rPr>
          <w:rFonts w:ascii="Arial Narrow" w:eastAsiaTheme="minorHAnsi" w:hAnsi="Arial Narrow"/>
          <w:b w:val="0"/>
          <w:bCs w:val="0"/>
          <w:sz w:val="24"/>
          <w:szCs w:val="24"/>
          <w:lang w:eastAsia="en-US"/>
        </w:rPr>
        <w:t>ocho</w:t>
      </w:r>
      <w:r w:rsidR="004E546D">
        <w:rPr>
          <w:rFonts w:ascii="Arial Narrow" w:eastAsiaTheme="minorHAnsi" w:hAnsi="Arial Narrow"/>
          <w:b w:val="0"/>
          <w:bCs w:val="0"/>
          <w:sz w:val="24"/>
          <w:szCs w:val="24"/>
          <w:lang w:eastAsia="en-US"/>
        </w:rPr>
        <w:t xml:space="preserve">cientos </w:t>
      </w:r>
      <w:r w:rsidR="00FF68C0">
        <w:rPr>
          <w:rFonts w:ascii="Arial Narrow" w:eastAsiaTheme="minorHAnsi" w:hAnsi="Arial Narrow"/>
          <w:b w:val="0"/>
          <w:bCs w:val="0"/>
          <w:sz w:val="24"/>
          <w:szCs w:val="24"/>
          <w:lang w:eastAsia="en-US"/>
        </w:rPr>
        <w:t>noven</w:t>
      </w:r>
      <w:r w:rsidR="004E546D">
        <w:rPr>
          <w:rFonts w:ascii="Arial Narrow" w:eastAsiaTheme="minorHAnsi" w:hAnsi="Arial Narrow"/>
          <w:b w:val="0"/>
          <w:bCs w:val="0"/>
          <w:sz w:val="24"/>
          <w:szCs w:val="24"/>
          <w:lang w:eastAsia="en-US"/>
        </w:rPr>
        <w:t xml:space="preserve">ta y </w:t>
      </w:r>
      <w:r w:rsidR="00FF68C0">
        <w:rPr>
          <w:rFonts w:ascii="Arial Narrow" w:eastAsiaTheme="minorHAnsi" w:hAnsi="Arial Narrow"/>
          <w:b w:val="0"/>
          <w:bCs w:val="0"/>
          <w:sz w:val="24"/>
          <w:szCs w:val="24"/>
          <w:lang w:eastAsia="en-US"/>
        </w:rPr>
        <w:t>dos</w:t>
      </w:r>
      <w:r w:rsidR="008C3000" w:rsidRPr="00AD6784">
        <w:rPr>
          <w:rFonts w:ascii="Arial Narrow" w:eastAsiaTheme="minorHAnsi" w:hAnsi="Arial Narrow"/>
          <w:b w:val="0"/>
          <w:bCs w:val="0"/>
          <w:sz w:val="24"/>
          <w:szCs w:val="24"/>
          <w:lang w:eastAsia="en-US"/>
        </w:rPr>
        <w:t xml:space="preserve"> mil </w:t>
      </w:r>
      <w:r w:rsidR="00FF68C0">
        <w:rPr>
          <w:rFonts w:ascii="Arial Narrow" w:eastAsiaTheme="minorHAnsi" w:hAnsi="Arial Narrow"/>
          <w:b w:val="0"/>
          <w:bCs w:val="0"/>
          <w:sz w:val="24"/>
          <w:szCs w:val="24"/>
          <w:lang w:eastAsia="en-US"/>
        </w:rPr>
        <w:t>cuatro</w:t>
      </w:r>
      <w:r w:rsidR="004E546D">
        <w:rPr>
          <w:rFonts w:ascii="Arial Narrow" w:eastAsiaTheme="minorHAnsi" w:hAnsi="Arial Narrow"/>
          <w:b w:val="0"/>
          <w:bCs w:val="0"/>
          <w:sz w:val="24"/>
          <w:szCs w:val="24"/>
          <w:lang w:eastAsia="en-US"/>
        </w:rPr>
        <w:t>ciento</w:t>
      </w:r>
      <w:r w:rsidR="00B65C5D">
        <w:rPr>
          <w:rFonts w:ascii="Arial Narrow" w:eastAsiaTheme="minorHAnsi" w:hAnsi="Arial Narrow"/>
          <w:b w:val="0"/>
          <w:bCs w:val="0"/>
          <w:sz w:val="24"/>
          <w:szCs w:val="24"/>
          <w:lang w:eastAsia="en-US"/>
        </w:rPr>
        <w:t>s</w:t>
      </w:r>
      <w:r w:rsidR="004E546D">
        <w:rPr>
          <w:rFonts w:ascii="Arial Narrow" w:eastAsiaTheme="minorHAnsi" w:hAnsi="Arial Narrow"/>
          <w:b w:val="0"/>
          <w:bCs w:val="0"/>
          <w:sz w:val="24"/>
          <w:szCs w:val="24"/>
          <w:lang w:eastAsia="en-US"/>
        </w:rPr>
        <w:t xml:space="preserve"> </w:t>
      </w:r>
      <w:r w:rsidR="00FF68C0">
        <w:rPr>
          <w:rFonts w:ascii="Arial Narrow" w:eastAsiaTheme="minorHAnsi" w:hAnsi="Arial Narrow"/>
          <w:b w:val="0"/>
          <w:bCs w:val="0"/>
          <w:sz w:val="24"/>
          <w:szCs w:val="24"/>
          <w:lang w:eastAsia="en-US"/>
        </w:rPr>
        <w:t>sete</w:t>
      </w:r>
      <w:r w:rsidR="00B65C5D">
        <w:rPr>
          <w:rFonts w:ascii="Arial Narrow" w:eastAsiaTheme="minorHAnsi" w:hAnsi="Arial Narrow"/>
          <w:b w:val="0"/>
          <w:bCs w:val="0"/>
          <w:sz w:val="24"/>
          <w:szCs w:val="24"/>
          <w:lang w:eastAsia="en-US"/>
        </w:rPr>
        <w:t xml:space="preserve">nta y </w:t>
      </w:r>
      <w:r w:rsidR="00FF68C0">
        <w:rPr>
          <w:rFonts w:ascii="Arial Narrow" w:eastAsiaTheme="minorHAnsi" w:hAnsi="Arial Narrow"/>
          <w:b w:val="0"/>
          <w:bCs w:val="0"/>
          <w:sz w:val="24"/>
          <w:szCs w:val="24"/>
          <w:lang w:eastAsia="en-US"/>
        </w:rPr>
        <w:t>siete</w:t>
      </w:r>
      <w:r w:rsidR="004E546D">
        <w:rPr>
          <w:rFonts w:ascii="Arial Narrow" w:eastAsiaTheme="minorHAnsi" w:hAnsi="Arial Narrow"/>
          <w:b w:val="0"/>
          <w:bCs w:val="0"/>
          <w:sz w:val="24"/>
          <w:szCs w:val="24"/>
          <w:lang w:eastAsia="en-US"/>
        </w:rPr>
        <w:t xml:space="preserve"> </w:t>
      </w:r>
      <w:r w:rsidR="008C3000" w:rsidRPr="00AD6784">
        <w:rPr>
          <w:rFonts w:ascii="Arial Narrow" w:eastAsiaTheme="minorHAnsi" w:hAnsi="Arial Narrow"/>
          <w:b w:val="0"/>
          <w:bCs w:val="0"/>
          <w:sz w:val="24"/>
          <w:szCs w:val="24"/>
          <w:lang w:eastAsia="en-US"/>
        </w:rPr>
        <w:t>pesos</w:t>
      </w:r>
      <w:r w:rsidR="00F03B9F" w:rsidRPr="00AD6784">
        <w:rPr>
          <w:rFonts w:ascii="Arial Narrow" w:eastAsiaTheme="minorHAnsi" w:hAnsi="Arial Narrow"/>
          <w:b w:val="0"/>
          <w:bCs w:val="0"/>
          <w:sz w:val="24"/>
          <w:szCs w:val="24"/>
          <w:lang w:eastAsia="en-US"/>
        </w:rPr>
        <w:t xml:space="preserve"> </w:t>
      </w:r>
      <w:r w:rsidR="00FF68C0">
        <w:rPr>
          <w:rFonts w:ascii="Arial Narrow" w:eastAsiaTheme="minorHAnsi" w:hAnsi="Arial Narrow"/>
          <w:b w:val="0"/>
          <w:bCs w:val="0"/>
          <w:sz w:val="24"/>
          <w:szCs w:val="24"/>
          <w:lang w:eastAsia="en-US"/>
        </w:rPr>
        <w:t>14</w:t>
      </w:r>
      <w:r w:rsidR="00F03B9F" w:rsidRPr="00AD6784">
        <w:rPr>
          <w:rFonts w:ascii="Arial Narrow" w:eastAsiaTheme="minorHAnsi" w:hAnsi="Arial Narrow"/>
          <w:b w:val="0"/>
          <w:bCs w:val="0"/>
          <w:sz w:val="24"/>
          <w:szCs w:val="24"/>
          <w:lang w:eastAsia="en-US"/>
        </w:rPr>
        <w:t xml:space="preserve">/100 </w:t>
      </w:r>
      <w:r w:rsidR="00307D69" w:rsidRPr="00AD6784">
        <w:rPr>
          <w:rFonts w:ascii="Arial Narrow" w:eastAsiaTheme="minorHAnsi" w:hAnsi="Arial Narrow"/>
          <w:b w:val="0"/>
          <w:bCs w:val="0"/>
          <w:sz w:val="24"/>
          <w:szCs w:val="24"/>
          <w:lang w:eastAsia="en-US"/>
        </w:rPr>
        <w:t>M.N.</w:t>
      </w:r>
      <w:r w:rsidR="004D25E4" w:rsidRPr="00AD6784">
        <w:rPr>
          <w:rFonts w:ascii="Arial Narrow" w:eastAsiaTheme="minorHAnsi" w:hAnsi="Arial Narrow"/>
          <w:b w:val="0"/>
          <w:bCs w:val="0"/>
          <w:sz w:val="24"/>
          <w:szCs w:val="24"/>
          <w:lang w:eastAsia="en-US"/>
        </w:rPr>
        <w:t xml:space="preserve">), </w:t>
      </w:r>
      <w:r w:rsidR="00AE5CD8" w:rsidRPr="00AD6784">
        <w:rPr>
          <w:rFonts w:ascii="Arial Narrow" w:eastAsiaTheme="minorHAnsi" w:hAnsi="Arial Narrow"/>
          <w:b w:val="0"/>
          <w:bCs w:val="0"/>
          <w:sz w:val="24"/>
          <w:szCs w:val="24"/>
          <w:lang w:eastAsia="en-US"/>
        </w:rPr>
        <w:t xml:space="preserve">de los cuales </w:t>
      </w:r>
      <w:r w:rsidR="008A325E" w:rsidRPr="00AD6784">
        <w:rPr>
          <w:rFonts w:ascii="Arial Narrow" w:eastAsiaTheme="minorHAnsi" w:hAnsi="Arial Narrow"/>
          <w:b w:val="0"/>
          <w:bCs w:val="0"/>
          <w:sz w:val="24"/>
          <w:szCs w:val="24"/>
          <w:lang w:eastAsia="en-US"/>
        </w:rPr>
        <w:t>se devengó</w:t>
      </w:r>
      <w:r w:rsidR="00250F2D" w:rsidRPr="00AD6784">
        <w:rPr>
          <w:rFonts w:ascii="Arial Narrow" w:eastAsiaTheme="minorHAnsi" w:hAnsi="Arial Narrow"/>
          <w:b w:val="0"/>
          <w:bCs w:val="0"/>
          <w:sz w:val="24"/>
          <w:szCs w:val="24"/>
          <w:lang w:eastAsia="en-US"/>
        </w:rPr>
        <w:t xml:space="preserve"> la cantidad </w:t>
      </w:r>
      <w:r w:rsidR="001A3725" w:rsidRPr="00AD6784">
        <w:rPr>
          <w:rFonts w:ascii="Arial Narrow" w:eastAsiaTheme="minorHAnsi" w:hAnsi="Arial Narrow"/>
          <w:b w:val="0"/>
          <w:bCs w:val="0"/>
          <w:sz w:val="24"/>
          <w:szCs w:val="24"/>
          <w:lang w:eastAsia="en-US"/>
        </w:rPr>
        <w:t xml:space="preserve">de </w:t>
      </w:r>
      <w:r w:rsidR="004E546D" w:rsidRPr="004E546D">
        <w:rPr>
          <w:rFonts w:ascii="Arial Narrow" w:eastAsiaTheme="minorHAnsi" w:hAnsi="Arial Narrow"/>
          <w:b w:val="0"/>
          <w:bCs w:val="0"/>
          <w:sz w:val="24"/>
          <w:szCs w:val="24"/>
          <w:lang w:eastAsia="en-US"/>
        </w:rPr>
        <w:t>$1,</w:t>
      </w:r>
      <w:r w:rsidR="006B38D1">
        <w:rPr>
          <w:rFonts w:ascii="Arial Narrow" w:eastAsiaTheme="minorHAnsi" w:hAnsi="Arial Narrow"/>
          <w:b w:val="0"/>
          <w:bCs w:val="0"/>
          <w:sz w:val="24"/>
          <w:szCs w:val="24"/>
          <w:lang w:eastAsia="en-US"/>
        </w:rPr>
        <w:t>577,398</w:t>
      </w:r>
      <w:r w:rsidR="007E741E">
        <w:rPr>
          <w:rFonts w:ascii="Arial Narrow" w:eastAsiaTheme="minorHAnsi" w:hAnsi="Arial Narrow"/>
          <w:b w:val="0"/>
          <w:bCs w:val="0"/>
          <w:sz w:val="24"/>
          <w:szCs w:val="24"/>
          <w:lang w:eastAsia="en-US"/>
        </w:rPr>
        <w:t>,458.14</w:t>
      </w:r>
      <w:r w:rsidR="00B65C5D">
        <w:rPr>
          <w:rFonts w:ascii="Arial Narrow" w:eastAsiaTheme="minorHAnsi" w:hAnsi="Arial Narrow"/>
          <w:b w:val="0"/>
          <w:bCs w:val="0"/>
          <w:sz w:val="24"/>
          <w:szCs w:val="24"/>
          <w:lang w:eastAsia="en-US"/>
        </w:rPr>
        <w:t xml:space="preserve"> </w:t>
      </w:r>
      <w:r w:rsidR="003C4B50" w:rsidRPr="00AD6784">
        <w:rPr>
          <w:rFonts w:ascii="Arial Narrow" w:eastAsiaTheme="minorHAnsi" w:hAnsi="Arial Narrow"/>
          <w:b w:val="0"/>
          <w:bCs w:val="0"/>
          <w:sz w:val="24"/>
          <w:szCs w:val="24"/>
          <w:lang w:eastAsia="en-US"/>
        </w:rPr>
        <w:t>(</w:t>
      </w:r>
      <w:r w:rsidR="00B65C5D">
        <w:rPr>
          <w:rFonts w:ascii="Arial Narrow" w:eastAsiaTheme="minorHAnsi" w:hAnsi="Arial Narrow"/>
          <w:b w:val="0"/>
          <w:bCs w:val="0"/>
          <w:sz w:val="24"/>
          <w:szCs w:val="24"/>
          <w:lang w:eastAsia="en-US"/>
        </w:rPr>
        <w:t>U</w:t>
      </w:r>
      <w:r w:rsidR="00913879" w:rsidRPr="00AD6784">
        <w:rPr>
          <w:rFonts w:ascii="Arial Narrow" w:eastAsiaTheme="minorHAnsi" w:hAnsi="Arial Narrow"/>
          <w:b w:val="0"/>
          <w:bCs w:val="0"/>
          <w:sz w:val="24"/>
          <w:szCs w:val="24"/>
          <w:lang w:eastAsia="en-US"/>
        </w:rPr>
        <w:t xml:space="preserve">n mil </w:t>
      </w:r>
      <w:r w:rsidR="007E741E">
        <w:rPr>
          <w:rFonts w:ascii="Arial Narrow" w:eastAsiaTheme="minorHAnsi" w:hAnsi="Arial Narrow"/>
          <w:b w:val="0"/>
          <w:bCs w:val="0"/>
          <w:sz w:val="24"/>
          <w:szCs w:val="24"/>
          <w:lang w:eastAsia="en-US"/>
        </w:rPr>
        <w:t>quinientos</w:t>
      </w:r>
      <w:r w:rsidR="004E546D">
        <w:rPr>
          <w:rFonts w:ascii="Arial Narrow" w:eastAsiaTheme="minorHAnsi" w:hAnsi="Arial Narrow"/>
          <w:b w:val="0"/>
          <w:bCs w:val="0"/>
          <w:sz w:val="24"/>
          <w:szCs w:val="24"/>
          <w:lang w:eastAsia="en-US"/>
        </w:rPr>
        <w:t xml:space="preserve"> </w:t>
      </w:r>
      <w:r w:rsidR="00B65C5D">
        <w:rPr>
          <w:rFonts w:ascii="Arial Narrow" w:eastAsiaTheme="minorHAnsi" w:hAnsi="Arial Narrow"/>
          <w:b w:val="0"/>
          <w:bCs w:val="0"/>
          <w:sz w:val="24"/>
          <w:szCs w:val="24"/>
          <w:lang w:eastAsia="en-US"/>
        </w:rPr>
        <w:t>se</w:t>
      </w:r>
      <w:r w:rsidR="007E741E">
        <w:rPr>
          <w:rFonts w:ascii="Arial Narrow" w:eastAsiaTheme="minorHAnsi" w:hAnsi="Arial Narrow"/>
          <w:b w:val="0"/>
          <w:bCs w:val="0"/>
          <w:sz w:val="24"/>
          <w:szCs w:val="24"/>
          <w:lang w:eastAsia="en-US"/>
        </w:rPr>
        <w:t>t</w:t>
      </w:r>
      <w:r w:rsidR="00B65C5D">
        <w:rPr>
          <w:rFonts w:ascii="Arial Narrow" w:eastAsiaTheme="minorHAnsi" w:hAnsi="Arial Narrow"/>
          <w:b w:val="0"/>
          <w:bCs w:val="0"/>
          <w:sz w:val="24"/>
          <w:szCs w:val="24"/>
          <w:lang w:eastAsia="en-US"/>
        </w:rPr>
        <w:t>enta y siete</w:t>
      </w:r>
      <w:r w:rsidR="00E82074" w:rsidRPr="00AD6784">
        <w:rPr>
          <w:rFonts w:ascii="Arial Narrow" w:eastAsiaTheme="minorHAnsi" w:hAnsi="Arial Narrow"/>
          <w:b w:val="0"/>
          <w:bCs w:val="0"/>
          <w:sz w:val="24"/>
          <w:szCs w:val="24"/>
          <w:lang w:eastAsia="en-US"/>
        </w:rPr>
        <w:t xml:space="preserve"> millones </w:t>
      </w:r>
      <w:r w:rsidR="007E741E">
        <w:rPr>
          <w:rFonts w:ascii="Arial Narrow" w:eastAsiaTheme="minorHAnsi" w:hAnsi="Arial Narrow"/>
          <w:b w:val="0"/>
          <w:bCs w:val="0"/>
          <w:sz w:val="24"/>
          <w:szCs w:val="24"/>
          <w:lang w:eastAsia="en-US"/>
        </w:rPr>
        <w:t>tres</w:t>
      </w:r>
      <w:r w:rsidR="008C3000" w:rsidRPr="00AD6784">
        <w:rPr>
          <w:rFonts w:ascii="Arial Narrow" w:eastAsiaTheme="minorHAnsi" w:hAnsi="Arial Narrow"/>
          <w:b w:val="0"/>
          <w:bCs w:val="0"/>
          <w:sz w:val="24"/>
          <w:szCs w:val="24"/>
          <w:lang w:eastAsia="en-US"/>
        </w:rPr>
        <w:t>ciento</w:t>
      </w:r>
      <w:r w:rsidR="00913879" w:rsidRPr="00AD6784">
        <w:rPr>
          <w:rFonts w:ascii="Arial Narrow" w:eastAsiaTheme="minorHAnsi" w:hAnsi="Arial Narrow"/>
          <w:b w:val="0"/>
          <w:bCs w:val="0"/>
          <w:sz w:val="24"/>
          <w:szCs w:val="24"/>
          <w:lang w:eastAsia="en-US"/>
        </w:rPr>
        <w:t>s</w:t>
      </w:r>
      <w:r w:rsidR="008C3000" w:rsidRPr="00AD6784">
        <w:rPr>
          <w:rFonts w:ascii="Arial Narrow" w:eastAsiaTheme="minorHAnsi" w:hAnsi="Arial Narrow"/>
          <w:b w:val="0"/>
          <w:bCs w:val="0"/>
          <w:sz w:val="24"/>
          <w:szCs w:val="24"/>
          <w:lang w:eastAsia="en-US"/>
        </w:rPr>
        <w:t xml:space="preserve"> </w:t>
      </w:r>
      <w:r w:rsidR="007E741E">
        <w:rPr>
          <w:rFonts w:ascii="Arial Narrow" w:eastAsiaTheme="minorHAnsi" w:hAnsi="Arial Narrow"/>
          <w:b w:val="0"/>
          <w:bCs w:val="0"/>
          <w:sz w:val="24"/>
          <w:szCs w:val="24"/>
          <w:lang w:eastAsia="en-US"/>
        </w:rPr>
        <w:t>noventa y ocho</w:t>
      </w:r>
      <w:r w:rsidR="008C3000" w:rsidRPr="00AD6784">
        <w:rPr>
          <w:rFonts w:ascii="Arial Narrow" w:eastAsiaTheme="minorHAnsi" w:hAnsi="Arial Narrow"/>
          <w:b w:val="0"/>
          <w:bCs w:val="0"/>
          <w:sz w:val="24"/>
          <w:szCs w:val="24"/>
          <w:lang w:eastAsia="en-US"/>
        </w:rPr>
        <w:t xml:space="preserve"> </w:t>
      </w:r>
      <w:r w:rsidR="00E82074" w:rsidRPr="00AD6784">
        <w:rPr>
          <w:rFonts w:ascii="Arial Narrow" w:eastAsiaTheme="minorHAnsi" w:hAnsi="Arial Narrow"/>
          <w:b w:val="0"/>
          <w:bCs w:val="0"/>
          <w:sz w:val="24"/>
          <w:szCs w:val="24"/>
          <w:lang w:eastAsia="en-US"/>
        </w:rPr>
        <w:t>mil</w:t>
      </w:r>
      <w:r w:rsidR="007E741E">
        <w:rPr>
          <w:rFonts w:ascii="Arial Narrow" w:eastAsiaTheme="minorHAnsi" w:hAnsi="Arial Narrow"/>
          <w:b w:val="0"/>
          <w:bCs w:val="0"/>
          <w:sz w:val="24"/>
          <w:szCs w:val="24"/>
          <w:lang w:eastAsia="en-US"/>
        </w:rPr>
        <w:t xml:space="preserve"> cuatroc</w:t>
      </w:r>
      <w:r w:rsidR="00913879" w:rsidRPr="00AD6784">
        <w:rPr>
          <w:rFonts w:ascii="Arial Narrow" w:eastAsiaTheme="minorHAnsi" w:hAnsi="Arial Narrow"/>
          <w:b w:val="0"/>
          <w:bCs w:val="0"/>
          <w:sz w:val="24"/>
          <w:szCs w:val="24"/>
          <w:lang w:eastAsia="en-US"/>
        </w:rPr>
        <w:t xml:space="preserve">ientos </w:t>
      </w:r>
      <w:r w:rsidR="007E741E">
        <w:rPr>
          <w:rFonts w:ascii="Arial Narrow" w:eastAsiaTheme="minorHAnsi" w:hAnsi="Arial Narrow"/>
          <w:b w:val="0"/>
          <w:bCs w:val="0"/>
          <w:sz w:val="24"/>
          <w:szCs w:val="24"/>
          <w:lang w:eastAsia="en-US"/>
        </w:rPr>
        <w:t>cincu</w:t>
      </w:r>
      <w:r w:rsidR="00B65C5D">
        <w:rPr>
          <w:rFonts w:ascii="Arial Narrow" w:eastAsiaTheme="minorHAnsi" w:hAnsi="Arial Narrow"/>
          <w:b w:val="0"/>
          <w:bCs w:val="0"/>
          <w:sz w:val="24"/>
          <w:szCs w:val="24"/>
          <w:lang w:eastAsia="en-US"/>
        </w:rPr>
        <w:t xml:space="preserve">enta y </w:t>
      </w:r>
      <w:r w:rsidR="007E741E">
        <w:rPr>
          <w:rFonts w:ascii="Arial Narrow" w:eastAsiaTheme="minorHAnsi" w:hAnsi="Arial Narrow"/>
          <w:b w:val="0"/>
          <w:bCs w:val="0"/>
          <w:sz w:val="24"/>
          <w:szCs w:val="24"/>
          <w:lang w:eastAsia="en-US"/>
        </w:rPr>
        <w:t>ocho</w:t>
      </w:r>
      <w:r w:rsidR="00913879" w:rsidRPr="00AD6784">
        <w:rPr>
          <w:rFonts w:ascii="Arial Narrow" w:eastAsiaTheme="minorHAnsi" w:hAnsi="Arial Narrow"/>
          <w:b w:val="0"/>
          <w:bCs w:val="0"/>
          <w:sz w:val="24"/>
          <w:szCs w:val="24"/>
          <w:lang w:eastAsia="en-US"/>
        </w:rPr>
        <w:t xml:space="preserve"> </w:t>
      </w:r>
      <w:r w:rsidR="00CE170C" w:rsidRPr="00AD6784">
        <w:rPr>
          <w:rFonts w:ascii="Arial Narrow" w:eastAsiaTheme="minorHAnsi" w:hAnsi="Arial Narrow"/>
          <w:b w:val="0"/>
          <w:bCs w:val="0"/>
          <w:sz w:val="24"/>
          <w:szCs w:val="24"/>
          <w:lang w:eastAsia="en-US"/>
        </w:rPr>
        <w:t>pesos</w:t>
      </w:r>
      <w:r w:rsidR="00457BA0" w:rsidRPr="00AD6784">
        <w:rPr>
          <w:rFonts w:ascii="Arial Narrow" w:eastAsiaTheme="minorHAnsi" w:hAnsi="Arial Narrow"/>
          <w:b w:val="0"/>
          <w:bCs w:val="0"/>
          <w:sz w:val="24"/>
          <w:szCs w:val="24"/>
          <w:lang w:eastAsia="en-US"/>
        </w:rPr>
        <w:t xml:space="preserve"> </w:t>
      </w:r>
      <w:r w:rsidR="007E741E">
        <w:rPr>
          <w:rFonts w:ascii="Arial Narrow" w:eastAsiaTheme="minorHAnsi" w:hAnsi="Arial Narrow"/>
          <w:b w:val="0"/>
          <w:bCs w:val="0"/>
          <w:sz w:val="24"/>
          <w:szCs w:val="24"/>
          <w:lang w:eastAsia="en-US"/>
        </w:rPr>
        <w:t>1</w:t>
      </w:r>
      <w:r w:rsidR="00B65C5D">
        <w:rPr>
          <w:rFonts w:ascii="Arial Narrow" w:eastAsiaTheme="minorHAnsi" w:hAnsi="Arial Narrow"/>
          <w:b w:val="0"/>
          <w:bCs w:val="0"/>
          <w:sz w:val="24"/>
          <w:szCs w:val="24"/>
          <w:lang w:eastAsia="en-US"/>
        </w:rPr>
        <w:t>4</w:t>
      </w:r>
      <w:r w:rsidR="00CE170C" w:rsidRPr="00AD6784">
        <w:rPr>
          <w:rFonts w:ascii="Arial Narrow" w:eastAsiaTheme="minorHAnsi" w:hAnsi="Arial Narrow"/>
          <w:b w:val="0"/>
          <w:bCs w:val="0"/>
          <w:sz w:val="24"/>
          <w:szCs w:val="24"/>
          <w:lang w:eastAsia="en-US"/>
        </w:rPr>
        <w:t xml:space="preserve">/100 </w:t>
      </w:r>
      <w:r w:rsidR="00F77BE8" w:rsidRPr="00AD6784">
        <w:rPr>
          <w:rFonts w:ascii="Arial Narrow" w:eastAsiaTheme="minorHAnsi" w:hAnsi="Arial Narrow"/>
          <w:b w:val="0"/>
          <w:bCs w:val="0"/>
          <w:sz w:val="24"/>
          <w:szCs w:val="24"/>
          <w:lang w:eastAsia="en-US"/>
        </w:rPr>
        <w:t>M.N.).</w:t>
      </w:r>
    </w:p>
    <w:p w14:paraId="04C5D253" w14:textId="77777777" w:rsidR="00380F68" w:rsidRDefault="00380F68" w:rsidP="00B2353F">
      <w:pPr>
        <w:spacing w:line="276" w:lineRule="auto"/>
        <w:jc w:val="both"/>
        <w:rPr>
          <w:rFonts w:ascii="Arial Narrow" w:eastAsia="Times New Roman" w:hAnsi="Arial Narrow" w:cs="Times New Roman"/>
          <w:bCs/>
          <w:sz w:val="24"/>
          <w:szCs w:val="24"/>
          <w:lang w:eastAsia="es-MX"/>
        </w:rPr>
      </w:pPr>
    </w:p>
    <w:p w14:paraId="05236625" w14:textId="2CA53E5C" w:rsidR="00EA7F07" w:rsidRDefault="006B4CDB" w:rsidP="00B2353F">
      <w:pPr>
        <w:spacing w:line="276" w:lineRule="auto"/>
        <w:jc w:val="both"/>
        <w:rPr>
          <w:rFonts w:ascii="Arial Narrow" w:eastAsia="Times New Roman" w:hAnsi="Arial Narrow" w:cs="Times New Roman"/>
          <w:bCs/>
          <w:sz w:val="24"/>
          <w:szCs w:val="24"/>
          <w:lang w:eastAsia="es-MX"/>
        </w:rPr>
      </w:pPr>
      <w:r w:rsidRPr="00882E44">
        <w:rPr>
          <w:rFonts w:ascii="Arial Narrow" w:eastAsia="Times New Roman" w:hAnsi="Arial Narrow" w:cs="Times New Roman"/>
          <w:bCs/>
          <w:sz w:val="24"/>
          <w:szCs w:val="24"/>
          <w:lang w:eastAsia="es-MX"/>
        </w:rPr>
        <w:t xml:space="preserve">En el mes de </w:t>
      </w:r>
      <w:r w:rsidR="007E741E">
        <w:rPr>
          <w:rFonts w:ascii="Arial Narrow" w:eastAsia="Times New Roman" w:hAnsi="Arial Narrow" w:cs="Times New Roman"/>
          <w:bCs/>
          <w:sz w:val="24"/>
          <w:szCs w:val="24"/>
          <w:lang w:eastAsia="es-MX"/>
        </w:rPr>
        <w:t>dic</w:t>
      </w:r>
      <w:r w:rsidR="00B65C5D">
        <w:rPr>
          <w:rFonts w:ascii="Arial Narrow" w:eastAsia="Times New Roman" w:hAnsi="Arial Narrow" w:cs="Times New Roman"/>
          <w:bCs/>
          <w:sz w:val="24"/>
          <w:szCs w:val="24"/>
          <w:lang w:eastAsia="es-MX"/>
        </w:rPr>
        <w:t>iem</w:t>
      </w:r>
      <w:r w:rsidR="00913879">
        <w:rPr>
          <w:rFonts w:ascii="Arial Narrow" w:eastAsia="Times New Roman" w:hAnsi="Arial Narrow" w:cs="Times New Roman"/>
          <w:bCs/>
          <w:sz w:val="24"/>
          <w:szCs w:val="24"/>
          <w:lang w:eastAsia="es-MX"/>
        </w:rPr>
        <w:t>bre</w:t>
      </w:r>
      <w:r w:rsidRPr="00882E44">
        <w:rPr>
          <w:rFonts w:ascii="Arial Narrow" w:eastAsia="Times New Roman" w:hAnsi="Arial Narrow" w:cs="Times New Roman"/>
          <w:bCs/>
          <w:sz w:val="24"/>
          <w:szCs w:val="24"/>
          <w:lang w:eastAsia="es-MX"/>
        </w:rPr>
        <w:t xml:space="preserve"> </w:t>
      </w:r>
      <w:r w:rsidR="003C4940" w:rsidRPr="003C4940">
        <w:rPr>
          <w:rFonts w:ascii="Arial Narrow" w:eastAsia="Times New Roman" w:hAnsi="Arial Narrow" w:cs="Times New Roman"/>
          <w:bCs/>
          <w:sz w:val="24"/>
          <w:szCs w:val="24"/>
          <w:lang w:eastAsia="es-MX"/>
        </w:rPr>
        <w:t>se llevaron a cabo transferencias compensadas entre capítulos, mismas que fueron autorizadas por la Comisión de Administración</w:t>
      </w:r>
      <w:r w:rsidR="002079D1">
        <w:rPr>
          <w:rFonts w:ascii="Arial Narrow" w:eastAsia="Times New Roman" w:hAnsi="Arial Narrow" w:cs="Times New Roman"/>
          <w:bCs/>
          <w:sz w:val="24"/>
          <w:szCs w:val="24"/>
          <w:lang w:eastAsia="es-MX"/>
        </w:rPr>
        <w:t>.</w:t>
      </w:r>
    </w:p>
    <w:tbl>
      <w:tblPr>
        <w:tblStyle w:val="Tablaconcuadrcula1clara-nfasis3"/>
        <w:tblW w:w="9351" w:type="dxa"/>
        <w:tblLayout w:type="fixed"/>
        <w:tblLook w:val="04A0" w:firstRow="1" w:lastRow="0" w:firstColumn="1" w:lastColumn="0" w:noHBand="0" w:noVBand="1"/>
      </w:tblPr>
      <w:tblGrid>
        <w:gridCol w:w="1696"/>
        <w:gridCol w:w="4253"/>
        <w:gridCol w:w="1701"/>
        <w:gridCol w:w="1701"/>
      </w:tblGrid>
      <w:tr w:rsidR="007E741E" w:rsidRPr="00AA4FD4" w14:paraId="22FD2A01" w14:textId="77777777" w:rsidTr="00124B8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BFFBF71" w14:textId="77777777" w:rsidR="007E741E" w:rsidRPr="00AA4FD4" w:rsidRDefault="007E741E" w:rsidP="00124B8A">
            <w:pPr>
              <w:jc w:val="center"/>
              <w:rPr>
                <w:rFonts w:ascii="Arial Narrow" w:eastAsia="Times New Roman" w:hAnsi="Arial Narrow" w:cs="Arial"/>
                <w:bCs w:val="0"/>
                <w:color w:val="000000"/>
                <w:szCs w:val="24"/>
                <w:lang w:eastAsia="es-MX"/>
              </w:rPr>
            </w:pPr>
            <w:r w:rsidRPr="00AA4FD4">
              <w:rPr>
                <w:rFonts w:ascii="Arial Narrow" w:eastAsia="Times New Roman" w:hAnsi="Arial Narrow" w:cs="Arial"/>
                <w:bCs w:val="0"/>
                <w:color w:val="000000"/>
                <w:szCs w:val="24"/>
                <w:lang w:eastAsia="es-MX"/>
              </w:rPr>
              <w:t>Autorización</w:t>
            </w:r>
          </w:p>
        </w:tc>
        <w:tc>
          <w:tcPr>
            <w:tcW w:w="4253" w:type="dxa"/>
            <w:noWrap/>
            <w:vAlign w:val="center"/>
            <w:hideMark/>
          </w:tcPr>
          <w:p w14:paraId="3D600F6B" w14:textId="77777777" w:rsidR="007E741E" w:rsidRPr="00D1224F" w:rsidRDefault="007E741E" w:rsidP="00124B8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Cs w:val="24"/>
                <w:lang w:eastAsia="es-MX"/>
              </w:rPr>
            </w:pPr>
            <w:r w:rsidRPr="00D1224F">
              <w:rPr>
                <w:rFonts w:ascii="Arial Narrow" w:eastAsia="Times New Roman" w:hAnsi="Arial Narrow" w:cs="Arial"/>
                <w:color w:val="000000"/>
                <w:szCs w:val="24"/>
                <w:lang w:eastAsia="es-MX"/>
              </w:rPr>
              <w:t>Capítulo</w:t>
            </w:r>
          </w:p>
        </w:tc>
        <w:tc>
          <w:tcPr>
            <w:tcW w:w="1701" w:type="dxa"/>
            <w:vAlign w:val="center"/>
          </w:tcPr>
          <w:p w14:paraId="293C4CA5" w14:textId="77777777" w:rsidR="007E741E" w:rsidRPr="00AA4FD4" w:rsidRDefault="007E741E" w:rsidP="00124B8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lang w:eastAsia="es-MX"/>
              </w:rPr>
            </w:pPr>
            <w:r w:rsidRPr="00AA4FD4">
              <w:rPr>
                <w:rFonts w:ascii="Arial Narrow" w:eastAsia="Times New Roman" w:hAnsi="Arial Narrow" w:cs="Calibri"/>
                <w:bCs w:val="0"/>
                <w:szCs w:val="24"/>
                <w:lang w:eastAsia="es-MX"/>
              </w:rPr>
              <w:t>Ampliación ($)</w:t>
            </w:r>
          </w:p>
        </w:tc>
        <w:tc>
          <w:tcPr>
            <w:tcW w:w="1701" w:type="dxa"/>
            <w:noWrap/>
            <w:vAlign w:val="center"/>
            <w:hideMark/>
          </w:tcPr>
          <w:p w14:paraId="09552871" w14:textId="77777777" w:rsidR="007E741E" w:rsidRPr="00D1224F" w:rsidRDefault="007E741E" w:rsidP="00124B8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AA4FD4">
              <w:rPr>
                <w:rFonts w:ascii="Arial Narrow" w:eastAsia="Times New Roman" w:hAnsi="Arial Narrow" w:cs="Calibri"/>
                <w:szCs w:val="24"/>
                <w:lang w:eastAsia="es-MX"/>
              </w:rPr>
              <w:t>Reducción ($)</w:t>
            </w:r>
          </w:p>
        </w:tc>
      </w:tr>
      <w:tr w:rsidR="007E741E" w:rsidRPr="00AA4FD4" w14:paraId="17AB9E5A"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65412F9E" w14:textId="77777777" w:rsidR="007E741E" w:rsidRPr="00913879" w:rsidRDefault="007E741E" w:rsidP="00124B8A">
            <w:pPr>
              <w:jc w:val="center"/>
              <w:rPr>
                <w:rFonts w:ascii="Arial Narrow" w:eastAsia="Times New Roman" w:hAnsi="Arial Narrow" w:cs="Calibri"/>
                <w:b w:val="0"/>
                <w:szCs w:val="24"/>
                <w:lang w:eastAsia="es-MX"/>
              </w:rPr>
            </w:pPr>
            <w:r w:rsidRPr="00913879">
              <w:rPr>
                <w:rFonts w:ascii="Arial Narrow" w:eastAsia="Times New Roman" w:hAnsi="Arial Narrow" w:cs="Calibri"/>
                <w:b w:val="0"/>
                <w:szCs w:val="24"/>
                <w:lang w:eastAsia="es-MX"/>
              </w:rPr>
              <w:t>Trigésima quinta sesión ordinaria</w:t>
            </w:r>
          </w:p>
          <w:p w14:paraId="10CCB6A3" w14:textId="534577B7" w:rsidR="007E741E" w:rsidRPr="00913879" w:rsidRDefault="007E741E" w:rsidP="00124B8A">
            <w:pPr>
              <w:jc w:val="center"/>
              <w:rPr>
                <w:rFonts w:ascii="Arial Narrow" w:eastAsia="Times New Roman" w:hAnsi="Arial Narrow" w:cs="Calibri"/>
                <w:szCs w:val="24"/>
                <w:highlight w:val="yellow"/>
                <w:lang w:eastAsia="es-MX"/>
              </w:rPr>
            </w:pPr>
            <w:r w:rsidRPr="00913879">
              <w:rPr>
                <w:rFonts w:ascii="Arial Narrow" w:eastAsia="Times New Roman" w:hAnsi="Arial Narrow" w:cs="Calibri"/>
                <w:b w:val="0"/>
                <w:szCs w:val="24"/>
                <w:lang w:eastAsia="es-MX"/>
              </w:rPr>
              <w:t>SA/CA/1</w:t>
            </w:r>
            <w:r w:rsidR="003C4940">
              <w:rPr>
                <w:rFonts w:ascii="Arial Narrow" w:eastAsia="Times New Roman" w:hAnsi="Arial Narrow" w:cs="Calibri"/>
                <w:b w:val="0"/>
                <w:szCs w:val="24"/>
                <w:lang w:eastAsia="es-MX"/>
              </w:rPr>
              <w:t>784</w:t>
            </w:r>
            <w:r w:rsidRPr="00913879">
              <w:rPr>
                <w:rFonts w:ascii="Arial Narrow" w:eastAsia="Times New Roman" w:hAnsi="Arial Narrow" w:cs="Calibri"/>
                <w:b w:val="0"/>
                <w:szCs w:val="24"/>
                <w:lang w:eastAsia="es-MX"/>
              </w:rPr>
              <w:t>/2023</w:t>
            </w:r>
          </w:p>
        </w:tc>
        <w:tc>
          <w:tcPr>
            <w:tcW w:w="4253" w:type="dxa"/>
            <w:noWrap/>
            <w:vAlign w:val="center"/>
          </w:tcPr>
          <w:p w14:paraId="188756D2" w14:textId="77777777" w:rsidR="007E741E" w:rsidRPr="00D1224F" w:rsidRDefault="007E741E" w:rsidP="00124B8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Pr>
                <w:rFonts w:ascii="Arial Narrow" w:eastAsia="Times New Roman" w:hAnsi="Arial Narrow" w:cs="Calibri"/>
                <w:szCs w:val="24"/>
                <w:lang w:eastAsia="es-MX"/>
              </w:rPr>
              <w:t xml:space="preserve">1000 </w:t>
            </w:r>
            <w:proofErr w:type="gramStart"/>
            <w:r>
              <w:rPr>
                <w:rFonts w:ascii="Arial Narrow" w:eastAsia="Times New Roman" w:hAnsi="Arial Narrow" w:cs="Calibri"/>
                <w:szCs w:val="24"/>
                <w:lang w:eastAsia="es-MX"/>
              </w:rPr>
              <w:t>Servicios</w:t>
            </w:r>
            <w:proofErr w:type="gramEnd"/>
            <w:r>
              <w:rPr>
                <w:rFonts w:ascii="Arial Narrow" w:eastAsia="Times New Roman" w:hAnsi="Arial Narrow" w:cs="Calibri"/>
                <w:szCs w:val="24"/>
                <w:lang w:eastAsia="es-MX"/>
              </w:rPr>
              <w:t xml:space="preserve"> Personales</w:t>
            </w:r>
          </w:p>
        </w:tc>
        <w:tc>
          <w:tcPr>
            <w:tcW w:w="1701" w:type="dxa"/>
            <w:vAlign w:val="center"/>
          </w:tcPr>
          <w:p w14:paraId="1B1A7455" w14:textId="2C897851" w:rsidR="007E741E" w:rsidRPr="00D1224F" w:rsidRDefault="003C4940"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3C4940">
              <w:rPr>
                <w:rFonts w:ascii="Arial Narrow" w:eastAsia="Times New Roman" w:hAnsi="Arial Narrow" w:cs="Calibri"/>
                <w:szCs w:val="24"/>
                <w:lang w:eastAsia="es-MX"/>
              </w:rPr>
              <w:t>264,454.98</w:t>
            </w:r>
          </w:p>
        </w:tc>
        <w:tc>
          <w:tcPr>
            <w:tcW w:w="1701" w:type="dxa"/>
            <w:noWrap/>
            <w:vAlign w:val="center"/>
          </w:tcPr>
          <w:p w14:paraId="60EDA3A3"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7E741E" w:rsidRPr="00AA4FD4" w14:paraId="5760ABA5"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DE69905" w14:textId="77777777" w:rsidR="007E741E" w:rsidRPr="00AA4FD4" w:rsidRDefault="007E741E" w:rsidP="00124B8A">
            <w:pPr>
              <w:jc w:val="center"/>
              <w:rPr>
                <w:rFonts w:ascii="Arial Narrow" w:eastAsia="Times New Roman" w:hAnsi="Arial Narrow" w:cs="Calibri"/>
                <w:b w:val="0"/>
                <w:szCs w:val="24"/>
                <w:lang w:eastAsia="es-MX"/>
              </w:rPr>
            </w:pPr>
          </w:p>
        </w:tc>
        <w:tc>
          <w:tcPr>
            <w:tcW w:w="4253" w:type="dxa"/>
            <w:noWrap/>
            <w:vAlign w:val="center"/>
            <w:hideMark/>
          </w:tcPr>
          <w:p w14:paraId="028922BF" w14:textId="77777777" w:rsidR="007E741E" w:rsidRPr="00D1224F" w:rsidRDefault="007E741E" w:rsidP="00124B8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1224F">
              <w:rPr>
                <w:rFonts w:ascii="Arial Narrow" w:eastAsia="Times New Roman" w:hAnsi="Arial Narrow" w:cs="Calibri"/>
                <w:szCs w:val="24"/>
                <w:lang w:eastAsia="es-MX"/>
              </w:rPr>
              <w:t>2000</w:t>
            </w:r>
            <w:r w:rsidRPr="00AA4FD4">
              <w:rPr>
                <w:rFonts w:ascii="Arial Narrow" w:eastAsia="Times New Roman" w:hAnsi="Arial Narrow" w:cs="Calibri"/>
                <w:szCs w:val="24"/>
                <w:lang w:eastAsia="es-MX"/>
              </w:rPr>
              <w:t xml:space="preserve"> </w:t>
            </w:r>
            <w:proofErr w:type="gramStart"/>
            <w:r w:rsidRPr="00AA4FD4">
              <w:rPr>
                <w:rFonts w:ascii="Arial Narrow" w:eastAsia="Times New Roman" w:hAnsi="Arial Narrow" w:cs="Calibri"/>
                <w:szCs w:val="24"/>
                <w:lang w:eastAsia="es-MX"/>
              </w:rPr>
              <w:t>Materiales</w:t>
            </w:r>
            <w:proofErr w:type="gramEnd"/>
            <w:r w:rsidRPr="00AA4FD4">
              <w:rPr>
                <w:rFonts w:ascii="Arial Narrow" w:eastAsia="Times New Roman" w:hAnsi="Arial Narrow" w:cs="Calibri"/>
                <w:szCs w:val="24"/>
                <w:lang w:eastAsia="es-MX"/>
              </w:rPr>
              <w:t xml:space="preserve"> y Suministros</w:t>
            </w:r>
          </w:p>
        </w:tc>
        <w:tc>
          <w:tcPr>
            <w:tcW w:w="1701" w:type="dxa"/>
            <w:vAlign w:val="center"/>
          </w:tcPr>
          <w:p w14:paraId="6206A944"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c>
          <w:tcPr>
            <w:tcW w:w="1701" w:type="dxa"/>
            <w:noWrap/>
            <w:vAlign w:val="center"/>
          </w:tcPr>
          <w:p w14:paraId="3498722B"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7E741E" w:rsidRPr="00AA4FD4" w14:paraId="07065E82"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32A5B27B" w14:textId="77777777" w:rsidR="007E741E" w:rsidRPr="00AA4FD4" w:rsidRDefault="007E741E" w:rsidP="00124B8A">
            <w:pPr>
              <w:jc w:val="center"/>
              <w:rPr>
                <w:rFonts w:ascii="Arial Narrow" w:eastAsia="Times New Roman" w:hAnsi="Arial Narrow" w:cs="Calibri"/>
                <w:szCs w:val="24"/>
                <w:lang w:eastAsia="es-MX"/>
              </w:rPr>
            </w:pPr>
          </w:p>
        </w:tc>
        <w:tc>
          <w:tcPr>
            <w:tcW w:w="4253" w:type="dxa"/>
            <w:noWrap/>
            <w:vAlign w:val="center"/>
            <w:hideMark/>
          </w:tcPr>
          <w:p w14:paraId="19BCF4D9" w14:textId="77777777" w:rsidR="007E741E" w:rsidRPr="00D1224F" w:rsidRDefault="007E741E" w:rsidP="00124B8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1224F">
              <w:rPr>
                <w:rFonts w:ascii="Arial Narrow" w:eastAsia="Times New Roman" w:hAnsi="Arial Narrow" w:cs="Calibri"/>
                <w:szCs w:val="24"/>
                <w:lang w:eastAsia="es-MX"/>
              </w:rPr>
              <w:t>3000</w:t>
            </w:r>
            <w:r w:rsidRPr="00AA4FD4">
              <w:rPr>
                <w:rFonts w:ascii="Arial Narrow" w:eastAsia="Times New Roman" w:hAnsi="Arial Narrow" w:cs="Calibri"/>
                <w:szCs w:val="24"/>
                <w:lang w:eastAsia="es-MX"/>
              </w:rPr>
              <w:t xml:space="preserve"> </w:t>
            </w:r>
            <w:proofErr w:type="gramStart"/>
            <w:r w:rsidRPr="00AA4FD4">
              <w:rPr>
                <w:rFonts w:ascii="Arial Narrow" w:eastAsia="Times New Roman" w:hAnsi="Arial Narrow" w:cs="Calibri"/>
                <w:szCs w:val="24"/>
                <w:lang w:eastAsia="es-MX"/>
              </w:rPr>
              <w:t>Servicios</w:t>
            </w:r>
            <w:proofErr w:type="gramEnd"/>
            <w:r w:rsidRPr="00AA4FD4">
              <w:rPr>
                <w:rFonts w:ascii="Arial Narrow" w:eastAsia="Times New Roman" w:hAnsi="Arial Narrow" w:cs="Calibri"/>
                <w:szCs w:val="24"/>
                <w:lang w:eastAsia="es-MX"/>
              </w:rPr>
              <w:t xml:space="preserve"> Generales</w:t>
            </w:r>
          </w:p>
        </w:tc>
        <w:tc>
          <w:tcPr>
            <w:tcW w:w="1701" w:type="dxa"/>
            <w:vAlign w:val="center"/>
          </w:tcPr>
          <w:p w14:paraId="0109EC59"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c>
          <w:tcPr>
            <w:tcW w:w="1701" w:type="dxa"/>
            <w:noWrap/>
            <w:vAlign w:val="center"/>
          </w:tcPr>
          <w:p w14:paraId="74BCB8B1" w14:textId="175273FF"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Pr>
                <w:rFonts w:ascii="Arial Narrow" w:eastAsia="Times New Roman" w:hAnsi="Arial Narrow" w:cs="Calibri"/>
                <w:szCs w:val="24"/>
                <w:lang w:eastAsia="es-MX"/>
              </w:rPr>
              <w:t>-</w:t>
            </w:r>
            <w:r w:rsidR="003C4940" w:rsidRPr="003C4940">
              <w:rPr>
                <w:rFonts w:ascii="Arial Narrow" w:eastAsia="Times New Roman" w:hAnsi="Arial Narrow" w:cs="Calibri"/>
                <w:szCs w:val="24"/>
                <w:lang w:eastAsia="es-MX"/>
              </w:rPr>
              <w:t xml:space="preserve"> 264,454.98</w:t>
            </w:r>
          </w:p>
        </w:tc>
      </w:tr>
      <w:tr w:rsidR="007E741E" w:rsidRPr="00AA4FD4" w14:paraId="0BB894A1"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1A645827" w14:textId="77777777" w:rsidR="007E741E" w:rsidRPr="00AA4FD4" w:rsidRDefault="007E741E" w:rsidP="00124B8A">
            <w:pPr>
              <w:jc w:val="center"/>
              <w:rPr>
                <w:rFonts w:ascii="Arial Narrow" w:eastAsia="Times New Roman" w:hAnsi="Arial Narrow" w:cs="Calibri"/>
                <w:szCs w:val="24"/>
                <w:lang w:eastAsia="es-MX"/>
              </w:rPr>
            </w:pPr>
          </w:p>
        </w:tc>
        <w:tc>
          <w:tcPr>
            <w:tcW w:w="4253" w:type="dxa"/>
            <w:noWrap/>
            <w:vAlign w:val="center"/>
            <w:hideMark/>
          </w:tcPr>
          <w:p w14:paraId="1696891E" w14:textId="77777777" w:rsidR="007E741E" w:rsidRPr="00D1224F" w:rsidRDefault="007E741E" w:rsidP="00124B8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1224F">
              <w:rPr>
                <w:rFonts w:ascii="Arial Narrow" w:eastAsia="Times New Roman" w:hAnsi="Arial Narrow" w:cs="Calibri"/>
                <w:szCs w:val="24"/>
                <w:lang w:eastAsia="es-MX"/>
              </w:rPr>
              <w:t>5000</w:t>
            </w:r>
            <w:r w:rsidRPr="00AA4FD4">
              <w:rPr>
                <w:rFonts w:ascii="Arial Narrow" w:eastAsia="Times New Roman" w:hAnsi="Arial Narrow" w:cs="Calibri"/>
                <w:szCs w:val="24"/>
                <w:lang w:eastAsia="es-MX"/>
              </w:rPr>
              <w:t xml:space="preserve"> </w:t>
            </w:r>
            <w:proofErr w:type="gramStart"/>
            <w:r w:rsidRPr="00AA4FD4">
              <w:rPr>
                <w:rFonts w:ascii="Arial Narrow" w:eastAsia="Times New Roman" w:hAnsi="Arial Narrow" w:cs="Calibri"/>
                <w:szCs w:val="24"/>
                <w:lang w:eastAsia="es-MX"/>
              </w:rPr>
              <w:t>Bienes</w:t>
            </w:r>
            <w:proofErr w:type="gramEnd"/>
            <w:r w:rsidRPr="00AA4FD4">
              <w:rPr>
                <w:rFonts w:ascii="Arial Narrow" w:eastAsia="Times New Roman" w:hAnsi="Arial Narrow" w:cs="Calibri"/>
                <w:szCs w:val="24"/>
                <w:lang w:eastAsia="es-MX"/>
              </w:rPr>
              <w:t xml:space="preserve"> Muebles, Inmuebles e Intangibles</w:t>
            </w:r>
          </w:p>
        </w:tc>
        <w:tc>
          <w:tcPr>
            <w:tcW w:w="1701" w:type="dxa"/>
            <w:vAlign w:val="center"/>
          </w:tcPr>
          <w:p w14:paraId="2816F92D"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c>
          <w:tcPr>
            <w:tcW w:w="1701" w:type="dxa"/>
            <w:noWrap/>
            <w:vAlign w:val="center"/>
          </w:tcPr>
          <w:p w14:paraId="1461EC72"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7E741E" w:rsidRPr="00AA4FD4" w14:paraId="53A14E6F"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432A9557" w14:textId="77777777" w:rsidR="007E741E" w:rsidRPr="00AA4FD4" w:rsidRDefault="007E741E" w:rsidP="00124B8A">
            <w:pPr>
              <w:jc w:val="center"/>
              <w:rPr>
                <w:rFonts w:ascii="Arial Narrow" w:eastAsia="Times New Roman" w:hAnsi="Arial Narrow" w:cs="Calibri"/>
                <w:szCs w:val="24"/>
                <w:lang w:eastAsia="es-MX"/>
              </w:rPr>
            </w:pPr>
          </w:p>
        </w:tc>
        <w:tc>
          <w:tcPr>
            <w:tcW w:w="4253" w:type="dxa"/>
            <w:noWrap/>
            <w:vAlign w:val="center"/>
            <w:hideMark/>
          </w:tcPr>
          <w:p w14:paraId="53B014EE" w14:textId="77777777" w:rsidR="007E741E" w:rsidRPr="00D1224F" w:rsidRDefault="007E741E" w:rsidP="00124B8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1224F">
              <w:rPr>
                <w:rFonts w:ascii="Arial Narrow" w:eastAsia="Times New Roman" w:hAnsi="Arial Narrow" w:cs="Calibri"/>
                <w:szCs w:val="24"/>
                <w:lang w:eastAsia="es-MX"/>
              </w:rPr>
              <w:t>6000</w:t>
            </w:r>
            <w:r w:rsidRPr="00AA4FD4">
              <w:rPr>
                <w:rFonts w:ascii="Arial Narrow" w:eastAsia="Times New Roman" w:hAnsi="Arial Narrow" w:cs="Calibri"/>
                <w:szCs w:val="24"/>
                <w:lang w:eastAsia="es-MX"/>
              </w:rPr>
              <w:t xml:space="preserve"> </w:t>
            </w:r>
            <w:proofErr w:type="gramStart"/>
            <w:r w:rsidRPr="00AA4FD4">
              <w:rPr>
                <w:rFonts w:ascii="Arial Narrow" w:eastAsia="Times New Roman" w:hAnsi="Arial Narrow" w:cs="Calibri"/>
                <w:szCs w:val="24"/>
                <w:lang w:eastAsia="es-MX"/>
              </w:rPr>
              <w:t>Inversión</w:t>
            </w:r>
            <w:proofErr w:type="gramEnd"/>
            <w:r w:rsidRPr="00AA4FD4">
              <w:rPr>
                <w:rFonts w:ascii="Arial Narrow" w:eastAsia="Times New Roman" w:hAnsi="Arial Narrow" w:cs="Calibri"/>
                <w:szCs w:val="24"/>
                <w:lang w:eastAsia="es-MX"/>
              </w:rPr>
              <w:t xml:space="preserve"> Pública</w:t>
            </w:r>
          </w:p>
        </w:tc>
        <w:tc>
          <w:tcPr>
            <w:tcW w:w="1701" w:type="dxa"/>
            <w:vAlign w:val="center"/>
          </w:tcPr>
          <w:p w14:paraId="251FBEA3" w14:textId="77777777" w:rsidR="007E741E" w:rsidRPr="00AA4FD4"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c>
          <w:tcPr>
            <w:tcW w:w="1701" w:type="dxa"/>
            <w:noWrap/>
            <w:vAlign w:val="center"/>
          </w:tcPr>
          <w:p w14:paraId="4DE13454" w14:textId="77777777"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7E741E" w:rsidRPr="00AA4FD4" w14:paraId="39820F6D" w14:textId="77777777" w:rsidTr="00124B8A">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6E4AE2F2" w14:textId="77777777" w:rsidR="007E741E" w:rsidRPr="00AA4FD4" w:rsidRDefault="007E741E" w:rsidP="00124B8A">
            <w:pPr>
              <w:jc w:val="center"/>
              <w:rPr>
                <w:rFonts w:ascii="Arial Narrow" w:eastAsia="Times New Roman" w:hAnsi="Arial Narrow" w:cs="Calibri"/>
                <w:b w:val="0"/>
                <w:bCs w:val="0"/>
                <w:szCs w:val="24"/>
                <w:lang w:eastAsia="es-MX"/>
              </w:rPr>
            </w:pPr>
          </w:p>
        </w:tc>
        <w:tc>
          <w:tcPr>
            <w:tcW w:w="4253" w:type="dxa"/>
            <w:noWrap/>
            <w:hideMark/>
          </w:tcPr>
          <w:p w14:paraId="49F149F6" w14:textId="77777777" w:rsidR="007E741E" w:rsidRPr="00D1224F" w:rsidRDefault="007E741E" w:rsidP="00124B8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sidRPr="00D1224F">
              <w:rPr>
                <w:rFonts w:ascii="Arial Narrow" w:eastAsia="Times New Roman" w:hAnsi="Arial Narrow" w:cs="Calibri"/>
                <w:b/>
                <w:bCs/>
                <w:szCs w:val="24"/>
                <w:lang w:eastAsia="es-MX"/>
              </w:rPr>
              <w:t>Total</w:t>
            </w:r>
          </w:p>
        </w:tc>
        <w:tc>
          <w:tcPr>
            <w:tcW w:w="1701" w:type="dxa"/>
            <w:vAlign w:val="center"/>
          </w:tcPr>
          <w:p w14:paraId="48AF3982" w14:textId="55C93475" w:rsidR="007E741E" w:rsidRPr="00AA4FD4" w:rsidRDefault="003C4940"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sidRPr="003C4940">
              <w:rPr>
                <w:rFonts w:ascii="Arial Narrow" w:eastAsia="Times New Roman" w:hAnsi="Arial Narrow" w:cs="Calibri"/>
                <w:b/>
                <w:szCs w:val="24"/>
                <w:lang w:eastAsia="es-MX"/>
              </w:rPr>
              <w:t>264,454.98</w:t>
            </w:r>
          </w:p>
        </w:tc>
        <w:tc>
          <w:tcPr>
            <w:tcW w:w="1701" w:type="dxa"/>
            <w:noWrap/>
            <w:vAlign w:val="center"/>
            <w:hideMark/>
          </w:tcPr>
          <w:p w14:paraId="053E1396" w14:textId="07D739A9" w:rsidR="007E741E" w:rsidRPr="00D1224F" w:rsidRDefault="007E741E" w:rsidP="00124B8A">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Pr>
                <w:rFonts w:ascii="Arial Narrow" w:eastAsia="Times New Roman" w:hAnsi="Arial Narrow" w:cs="Calibri"/>
                <w:b/>
                <w:szCs w:val="24"/>
                <w:lang w:eastAsia="es-MX"/>
              </w:rPr>
              <w:t>-</w:t>
            </w:r>
            <w:r w:rsidR="003C4940" w:rsidRPr="003C4940">
              <w:rPr>
                <w:rFonts w:ascii="Arial Narrow" w:eastAsia="Times New Roman" w:hAnsi="Arial Narrow" w:cs="Calibri"/>
                <w:b/>
                <w:szCs w:val="24"/>
                <w:lang w:eastAsia="es-MX"/>
              </w:rPr>
              <w:t xml:space="preserve"> 264,454.98</w:t>
            </w:r>
          </w:p>
        </w:tc>
      </w:tr>
    </w:tbl>
    <w:p w14:paraId="275BD098" w14:textId="085E1DE1" w:rsidR="00380F68" w:rsidRDefault="00380F68" w:rsidP="00B2353F">
      <w:pPr>
        <w:spacing w:line="276" w:lineRule="auto"/>
        <w:jc w:val="both"/>
        <w:rPr>
          <w:rFonts w:ascii="Arial Narrow" w:eastAsia="Times New Roman" w:hAnsi="Arial Narrow" w:cs="Times New Roman"/>
          <w:bCs/>
          <w:sz w:val="24"/>
          <w:szCs w:val="24"/>
          <w:lang w:eastAsia="es-MX"/>
        </w:rPr>
      </w:pPr>
    </w:p>
    <w:p w14:paraId="1DACFF3B" w14:textId="40A400D0" w:rsidR="00380F68" w:rsidRDefault="00380F68" w:rsidP="00B2353F">
      <w:pPr>
        <w:spacing w:line="276" w:lineRule="auto"/>
        <w:jc w:val="both"/>
        <w:rPr>
          <w:rFonts w:ascii="Arial Narrow" w:eastAsia="Times New Roman" w:hAnsi="Arial Narrow" w:cs="Times New Roman"/>
          <w:bCs/>
          <w:sz w:val="24"/>
          <w:szCs w:val="24"/>
          <w:lang w:eastAsia="es-MX"/>
        </w:rPr>
      </w:pPr>
      <w:r>
        <w:rPr>
          <w:rFonts w:ascii="Arial Narrow" w:eastAsia="Times New Roman" w:hAnsi="Arial Narrow" w:cs="Times New Roman"/>
          <w:bCs/>
          <w:sz w:val="24"/>
          <w:szCs w:val="24"/>
          <w:lang w:eastAsia="es-MX"/>
        </w:rPr>
        <w:t xml:space="preserve">A </w:t>
      </w:r>
      <w:proofErr w:type="gramStart"/>
      <w:r>
        <w:rPr>
          <w:rFonts w:ascii="Arial Narrow" w:eastAsia="Times New Roman" w:hAnsi="Arial Narrow" w:cs="Times New Roman"/>
          <w:bCs/>
          <w:sz w:val="24"/>
          <w:szCs w:val="24"/>
          <w:lang w:eastAsia="es-MX"/>
        </w:rPr>
        <w:t>continuación</w:t>
      </w:r>
      <w:proofErr w:type="gramEnd"/>
      <w:r>
        <w:rPr>
          <w:rFonts w:ascii="Arial Narrow" w:eastAsia="Times New Roman" w:hAnsi="Arial Narrow" w:cs="Times New Roman"/>
          <w:bCs/>
          <w:sz w:val="24"/>
          <w:szCs w:val="24"/>
          <w:lang w:eastAsia="es-MX"/>
        </w:rPr>
        <w:t xml:space="preserve"> se presenta un resumen de las transferencias compensadas </w:t>
      </w:r>
      <w:r w:rsidR="00524C8F">
        <w:rPr>
          <w:rFonts w:ascii="Arial Narrow" w:eastAsia="Times New Roman" w:hAnsi="Arial Narrow" w:cs="Times New Roman"/>
          <w:bCs/>
          <w:sz w:val="24"/>
          <w:szCs w:val="24"/>
          <w:lang w:eastAsia="es-MX"/>
        </w:rPr>
        <w:t>autorizadas</w:t>
      </w:r>
      <w:r>
        <w:rPr>
          <w:rFonts w:ascii="Arial Narrow" w:eastAsia="Times New Roman" w:hAnsi="Arial Narrow" w:cs="Times New Roman"/>
          <w:bCs/>
          <w:sz w:val="24"/>
          <w:szCs w:val="24"/>
          <w:lang w:eastAsia="es-MX"/>
        </w:rPr>
        <w:t xml:space="preserve"> </w:t>
      </w:r>
      <w:r w:rsidR="00C42717">
        <w:rPr>
          <w:rFonts w:ascii="Arial Narrow" w:eastAsia="Times New Roman" w:hAnsi="Arial Narrow" w:cs="Times New Roman"/>
          <w:bCs/>
          <w:sz w:val="24"/>
          <w:szCs w:val="24"/>
          <w:lang w:eastAsia="es-MX"/>
        </w:rPr>
        <w:t xml:space="preserve">de enero a </w:t>
      </w:r>
      <w:r w:rsidR="003C4940">
        <w:rPr>
          <w:rFonts w:ascii="Arial Narrow" w:eastAsia="Times New Roman" w:hAnsi="Arial Narrow" w:cs="Times New Roman"/>
          <w:bCs/>
          <w:sz w:val="24"/>
          <w:szCs w:val="24"/>
          <w:lang w:eastAsia="es-MX"/>
        </w:rPr>
        <w:t>dic</w:t>
      </w:r>
      <w:r w:rsidR="00C42717">
        <w:rPr>
          <w:rFonts w:ascii="Arial Narrow" w:eastAsia="Times New Roman" w:hAnsi="Arial Narrow" w:cs="Times New Roman"/>
          <w:bCs/>
          <w:sz w:val="24"/>
          <w:szCs w:val="24"/>
          <w:lang w:eastAsia="es-MX"/>
        </w:rPr>
        <w:t>iembre</w:t>
      </w:r>
      <w:r>
        <w:rPr>
          <w:rFonts w:ascii="Arial Narrow" w:eastAsia="Times New Roman" w:hAnsi="Arial Narrow" w:cs="Times New Roman"/>
          <w:bCs/>
          <w:sz w:val="24"/>
          <w:szCs w:val="24"/>
          <w:lang w:eastAsia="es-MX"/>
        </w:rPr>
        <w:t>:</w:t>
      </w:r>
    </w:p>
    <w:tbl>
      <w:tblPr>
        <w:tblStyle w:val="Tablaconcuadrcula1clara-nfasis3"/>
        <w:tblW w:w="9351" w:type="dxa"/>
        <w:tblLayout w:type="fixed"/>
        <w:tblLook w:val="04A0" w:firstRow="1" w:lastRow="0" w:firstColumn="1" w:lastColumn="0" w:noHBand="0" w:noVBand="1"/>
      </w:tblPr>
      <w:tblGrid>
        <w:gridCol w:w="5949"/>
        <w:gridCol w:w="1701"/>
        <w:gridCol w:w="1701"/>
      </w:tblGrid>
      <w:tr w:rsidR="00E82074" w:rsidRPr="00AA4FD4" w14:paraId="50248C67" w14:textId="77777777" w:rsidTr="006F38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1" w:type="dxa"/>
            <w:gridSpan w:val="3"/>
            <w:noWrap/>
            <w:vAlign w:val="center"/>
          </w:tcPr>
          <w:p w14:paraId="2309F5B9" w14:textId="58F4B1C8" w:rsidR="00E82074" w:rsidRPr="00AA4FD4" w:rsidRDefault="00E82074" w:rsidP="00B72F1E">
            <w:pPr>
              <w:jc w:val="center"/>
              <w:rPr>
                <w:rFonts w:ascii="Arial Narrow" w:eastAsia="Times New Roman" w:hAnsi="Arial Narrow" w:cs="Calibri"/>
                <w:szCs w:val="24"/>
                <w:lang w:eastAsia="es-MX"/>
              </w:rPr>
            </w:pPr>
            <w:r>
              <w:rPr>
                <w:rFonts w:ascii="Arial Narrow" w:hAnsi="Arial Narrow" w:cs="Times New Roman"/>
                <w:sz w:val="24"/>
                <w:szCs w:val="24"/>
              </w:rPr>
              <w:t xml:space="preserve">Transferencias compensadas acumuladas de enero a </w:t>
            </w:r>
            <w:r w:rsidR="003C4940">
              <w:rPr>
                <w:rFonts w:ascii="Arial Narrow" w:hAnsi="Arial Narrow" w:cs="Times New Roman"/>
                <w:sz w:val="24"/>
                <w:szCs w:val="24"/>
              </w:rPr>
              <w:t>dic</w:t>
            </w:r>
            <w:r w:rsidR="002079D1">
              <w:rPr>
                <w:rFonts w:ascii="Arial Narrow" w:hAnsi="Arial Narrow" w:cs="Times New Roman"/>
                <w:sz w:val="24"/>
                <w:szCs w:val="24"/>
              </w:rPr>
              <w:t>iembre</w:t>
            </w:r>
          </w:p>
        </w:tc>
      </w:tr>
      <w:tr w:rsidR="00E82074" w:rsidRPr="00AA4FD4" w14:paraId="492C30DB" w14:textId="77777777" w:rsidTr="006F38C4">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hideMark/>
          </w:tcPr>
          <w:p w14:paraId="252B2F39" w14:textId="77777777" w:rsidR="00E82074" w:rsidRPr="00D1224F" w:rsidRDefault="00E82074" w:rsidP="00B72F1E">
            <w:pPr>
              <w:jc w:val="center"/>
              <w:rPr>
                <w:rFonts w:ascii="Arial Narrow" w:eastAsia="Times New Roman" w:hAnsi="Arial Narrow" w:cs="Arial"/>
                <w:color w:val="000000"/>
                <w:szCs w:val="24"/>
                <w:lang w:eastAsia="es-MX"/>
              </w:rPr>
            </w:pPr>
            <w:r w:rsidRPr="00D1224F">
              <w:rPr>
                <w:rFonts w:ascii="Arial Narrow" w:eastAsia="Times New Roman" w:hAnsi="Arial Narrow" w:cs="Arial"/>
                <w:color w:val="000000"/>
                <w:szCs w:val="24"/>
                <w:lang w:eastAsia="es-MX"/>
              </w:rPr>
              <w:t>Capítulo</w:t>
            </w:r>
          </w:p>
        </w:tc>
        <w:tc>
          <w:tcPr>
            <w:tcW w:w="1701" w:type="dxa"/>
            <w:vAlign w:val="center"/>
          </w:tcPr>
          <w:p w14:paraId="04BF7574" w14:textId="77777777" w:rsidR="00E82074" w:rsidRPr="00882E44" w:rsidRDefault="00E82074" w:rsidP="00B72F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sidRPr="00882E44">
              <w:rPr>
                <w:rFonts w:ascii="Arial Narrow" w:eastAsia="Times New Roman" w:hAnsi="Arial Narrow" w:cs="Calibri"/>
                <w:b/>
                <w:bCs/>
                <w:szCs w:val="24"/>
                <w:lang w:eastAsia="es-MX"/>
              </w:rPr>
              <w:t>Ampliación ($)</w:t>
            </w:r>
          </w:p>
        </w:tc>
        <w:tc>
          <w:tcPr>
            <w:tcW w:w="1701" w:type="dxa"/>
            <w:noWrap/>
            <w:vAlign w:val="center"/>
            <w:hideMark/>
          </w:tcPr>
          <w:p w14:paraId="40098B27" w14:textId="77777777" w:rsidR="00E82074" w:rsidRPr="00882E44" w:rsidRDefault="00E82074" w:rsidP="00B72F1E">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sidRPr="00882E44">
              <w:rPr>
                <w:rFonts w:ascii="Arial Narrow" w:eastAsia="Times New Roman" w:hAnsi="Arial Narrow" w:cs="Calibri"/>
                <w:b/>
                <w:bCs/>
                <w:szCs w:val="24"/>
                <w:lang w:eastAsia="es-MX"/>
              </w:rPr>
              <w:t>Reducción ($)</w:t>
            </w:r>
          </w:p>
        </w:tc>
      </w:tr>
      <w:tr w:rsidR="00D851FC" w:rsidRPr="00AA4FD4" w14:paraId="7600DB1F" w14:textId="77777777" w:rsidTr="00852597">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tcPr>
          <w:p w14:paraId="5A924FA0" w14:textId="6844F4FC" w:rsidR="00D851FC" w:rsidRPr="00D851FC" w:rsidRDefault="00D851FC" w:rsidP="00D851FC">
            <w:pPr>
              <w:rPr>
                <w:rFonts w:ascii="Arial Narrow" w:eastAsia="Times New Roman" w:hAnsi="Arial Narrow" w:cs="Arial"/>
                <w:b w:val="0"/>
                <w:bCs w:val="0"/>
                <w:color w:val="000000"/>
                <w:szCs w:val="24"/>
                <w:lang w:eastAsia="es-MX"/>
              </w:rPr>
            </w:pPr>
            <w:r w:rsidRPr="00D851FC">
              <w:rPr>
                <w:rFonts w:ascii="Arial Narrow" w:eastAsia="Times New Roman" w:hAnsi="Arial Narrow" w:cs="Calibri"/>
                <w:b w:val="0"/>
                <w:bCs w:val="0"/>
                <w:szCs w:val="24"/>
                <w:lang w:eastAsia="es-MX"/>
              </w:rPr>
              <w:t xml:space="preserve">1000 </w:t>
            </w:r>
            <w:proofErr w:type="gramStart"/>
            <w:r w:rsidRPr="00D851FC">
              <w:rPr>
                <w:rFonts w:ascii="Arial Narrow" w:eastAsia="Times New Roman" w:hAnsi="Arial Narrow" w:cs="Calibri"/>
                <w:b w:val="0"/>
                <w:bCs w:val="0"/>
                <w:szCs w:val="24"/>
                <w:lang w:eastAsia="es-MX"/>
              </w:rPr>
              <w:t>Servicios</w:t>
            </w:r>
            <w:proofErr w:type="gramEnd"/>
            <w:r w:rsidRPr="00D851FC">
              <w:rPr>
                <w:rFonts w:ascii="Arial Narrow" w:eastAsia="Times New Roman" w:hAnsi="Arial Narrow" w:cs="Calibri"/>
                <w:b w:val="0"/>
                <w:bCs w:val="0"/>
                <w:szCs w:val="24"/>
                <w:lang w:eastAsia="es-MX"/>
              </w:rPr>
              <w:t xml:space="preserve"> Personales</w:t>
            </w:r>
          </w:p>
        </w:tc>
        <w:tc>
          <w:tcPr>
            <w:tcW w:w="1701" w:type="dxa"/>
          </w:tcPr>
          <w:p w14:paraId="3A058FA8" w14:textId="6FA5C8BC" w:rsidR="00D851FC" w:rsidRPr="00D851FC" w:rsidRDefault="003C4940"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3C4940">
              <w:rPr>
                <w:rFonts w:ascii="Arial Narrow" w:eastAsia="Times New Roman" w:hAnsi="Arial Narrow" w:cs="Calibri"/>
                <w:szCs w:val="24"/>
                <w:lang w:eastAsia="es-MX"/>
              </w:rPr>
              <w:t>2,996,433.03</w:t>
            </w:r>
          </w:p>
        </w:tc>
        <w:tc>
          <w:tcPr>
            <w:tcW w:w="1701" w:type="dxa"/>
            <w:noWrap/>
            <w:vAlign w:val="center"/>
          </w:tcPr>
          <w:p w14:paraId="0264F468" w14:textId="77777777" w:rsidR="00D851FC" w:rsidRPr="00882E44" w:rsidRDefault="00D851FC" w:rsidP="00D851F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p>
        </w:tc>
      </w:tr>
      <w:tr w:rsidR="00D851FC" w:rsidRPr="00AA4FD4" w14:paraId="691E7097" w14:textId="77777777" w:rsidTr="006F38C4">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hideMark/>
          </w:tcPr>
          <w:p w14:paraId="3F5B2BA8" w14:textId="77777777" w:rsidR="00D851FC" w:rsidRPr="006F38C4" w:rsidRDefault="00D851FC" w:rsidP="00D851FC">
            <w:pPr>
              <w:rPr>
                <w:rFonts w:ascii="Arial Narrow" w:eastAsia="Times New Roman" w:hAnsi="Arial Narrow" w:cs="Calibri"/>
                <w:b w:val="0"/>
                <w:szCs w:val="24"/>
                <w:lang w:eastAsia="es-MX"/>
              </w:rPr>
            </w:pPr>
            <w:r w:rsidRPr="006F38C4">
              <w:rPr>
                <w:rFonts w:ascii="Arial Narrow" w:eastAsia="Times New Roman" w:hAnsi="Arial Narrow" w:cs="Calibri"/>
                <w:b w:val="0"/>
                <w:szCs w:val="24"/>
                <w:lang w:eastAsia="es-MX"/>
              </w:rPr>
              <w:t xml:space="preserve">2000 </w:t>
            </w:r>
            <w:proofErr w:type="gramStart"/>
            <w:r w:rsidRPr="006F38C4">
              <w:rPr>
                <w:rFonts w:ascii="Arial Narrow" w:eastAsia="Times New Roman" w:hAnsi="Arial Narrow" w:cs="Calibri"/>
                <w:b w:val="0"/>
                <w:szCs w:val="24"/>
                <w:lang w:eastAsia="es-MX"/>
              </w:rPr>
              <w:t>Materiales</w:t>
            </w:r>
            <w:proofErr w:type="gramEnd"/>
            <w:r w:rsidRPr="006F38C4">
              <w:rPr>
                <w:rFonts w:ascii="Arial Narrow" w:eastAsia="Times New Roman" w:hAnsi="Arial Narrow" w:cs="Calibri"/>
                <w:b w:val="0"/>
                <w:szCs w:val="24"/>
                <w:lang w:eastAsia="es-MX"/>
              </w:rPr>
              <w:t xml:space="preserve"> y Suministros</w:t>
            </w:r>
          </w:p>
        </w:tc>
        <w:tc>
          <w:tcPr>
            <w:tcW w:w="1701" w:type="dxa"/>
          </w:tcPr>
          <w:p w14:paraId="27A6ADAA" w14:textId="1BA907AA" w:rsidR="00D851FC" w:rsidRPr="006F38C4" w:rsidRDefault="00D8734A"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8734A">
              <w:rPr>
                <w:rFonts w:ascii="Arial Narrow" w:eastAsia="Times New Roman" w:hAnsi="Arial Narrow" w:cs="Calibri"/>
                <w:szCs w:val="24"/>
                <w:lang w:eastAsia="es-MX"/>
              </w:rPr>
              <w:t>15,105,087.00</w:t>
            </w:r>
          </w:p>
        </w:tc>
        <w:tc>
          <w:tcPr>
            <w:tcW w:w="1701" w:type="dxa"/>
            <w:noWrap/>
            <w:vAlign w:val="center"/>
          </w:tcPr>
          <w:p w14:paraId="4061203C" w14:textId="77777777" w:rsidR="00D851FC" w:rsidRPr="00D1224F" w:rsidRDefault="00D851FC"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D851FC" w:rsidRPr="00AA4FD4" w14:paraId="53277B16" w14:textId="77777777" w:rsidTr="006F38C4">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hideMark/>
          </w:tcPr>
          <w:p w14:paraId="4FD2460B" w14:textId="77777777" w:rsidR="00D851FC" w:rsidRPr="006F38C4" w:rsidRDefault="00D851FC" w:rsidP="00D851FC">
            <w:pPr>
              <w:rPr>
                <w:rFonts w:ascii="Arial Narrow" w:eastAsia="Times New Roman" w:hAnsi="Arial Narrow" w:cs="Calibri"/>
                <w:b w:val="0"/>
                <w:szCs w:val="24"/>
                <w:lang w:eastAsia="es-MX"/>
              </w:rPr>
            </w:pPr>
            <w:r w:rsidRPr="006F38C4">
              <w:rPr>
                <w:rFonts w:ascii="Arial Narrow" w:eastAsia="Times New Roman" w:hAnsi="Arial Narrow" w:cs="Calibri"/>
                <w:b w:val="0"/>
                <w:szCs w:val="24"/>
                <w:lang w:eastAsia="es-MX"/>
              </w:rPr>
              <w:t xml:space="preserve">3000 </w:t>
            </w:r>
            <w:proofErr w:type="gramStart"/>
            <w:r w:rsidRPr="006F38C4">
              <w:rPr>
                <w:rFonts w:ascii="Arial Narrow" w:eastAsia="Times New Roman" w:hAnsi="Arial Narrow" w:cs="Calibri"/>
                <w:b w:val="0"/>
                <w:szCs w:val="24"/>
                <w:lang w:eastAsia="es-MX"/>
              </w:rPr>
              <w:t>Servicios</w:t>
            </w:r>
            <w:proofErr w:type="gramEnd"/>
            <w:r w:rsidRPr="006F38C4">
              <w:rPr>
                <w:rFonts w:ascii="Arial Narrow" w:eastAsia="Times New Roman" w:hAnsi="Arial Narrow" w:cs="Calibri"/>
                <w:b w:val="0"/>
                <w:szCs w:val="24"/>
                <w:lang w:eastAsia="es-MX"/>
              </w:rPr>
              <w:t xml:space="preserve"> Generales</w:t>
            </w:r>
          </w:p>
        </w:tc>
        <w:tc>
          <w:tcPr>
            <w:tcW w:w="1701" w:type="dxa"/>
          </w:tcPr>
          <w:p w14:paraId="50D5F122" w14:textId="7D6813DE" w:rsidR="00D851FC" w:rsidRPr="006F38C4" w:rsidRDefault="003C4940"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3C4940">
              <w:rPr>
                <w:rFonts w:ascii="Arial Narrow" w:eastAsia="Times New Roman" w:hAnsi="Arial Narrow" w:cs="Calibri"/>
                <w:szCs w:val="24"/>
                <w:lang w:eastAsia="es-MX"/>
              </w:rPr>
              <w:t>28,651,445.97</w:t>
            </w:r>
          </w:p>
        </w:tc>
        <w:tc>
          <w:tcPr>
            <w:tcW w:w="1701" w:type="dxa"/>
            <w:noWrap/>
            <w:vAlign w:val="center"/>
          </w:tcPr>
          <w:p w14:paraId="3A9076B9" w14:textId="77777777" w:rsidR="00D851FC" w:rsidRPr="00D1224F" w:rsidRDefault="00D851FC"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D851FC" w:rsidRPr="00AA4FD4" w14:paraId="21B428F1" w14:textId="77777777" w:rsidTr="00852597">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hideMark/>
          </w:tcPr>
          <w:p w14:paraId="2CA9D9B4" w14:textId="77777777" w:rsidR="00D851FC" w:rsidRPr="006F38C4" w:rsidRDefault="00D851FC" w:rsidP="00D851FC">
            <w:pPr>
              <w:rPr>
                <w:rFonts w:ascii="Arial Narrow" w:eastAsia="Times New Roman" w:hAnsi="Arial Narrow" w:cs="Calibri"/>
                <w:b w:val="0"/>
                <w:szCs w:val="24"/>
                <w:lang w:eastAsia="es-MX"/>
              </w:rPr>
            </w:pPr>
            <w:r w:rsidRPr="006F38C4">
              <w:rPr>
                <w:rFonts w:ascii="Arial Narrow" w:eastAsia="Times New Roman" w:hAnsi="Arial Narrow" w:cs="Calibri"/>
                <w:b w:val="0"/>
                <w:szCs w:val="24"/>
                <w:lang w:eastAsia="es-MX"/>
              </w:rPr>
              <w:t xml:space="preserve">5000 </w:t>
            </w:r>
            <w:proofErr w:type="gramStart"/>
            <w:r w:rsidRPr="006F38C4">
              <w:rPr>
                <w:rFonts w:ascii="Arial Narrow" w:eastAsia="Times New Roman" w:hAnsi="Arial Narrow" w:cs="Calibri"/>
                <w:b w:val="0"/>
                <w:szCs w:val="24"/>
                <w:lang w:eastAsia="es-MX"/>
              </w:rPr>
              <w:t>Bienes</w:t>
            </w:r>
            <w:proofErr w:type="gramEnd"/>
            <w:r w:rsidRPr="006F38C4">
              <w:rPr>
                <w:rFonts w:ascii="Arial Narrow" w:eastAsia="Times New Roman" w:hAnsi="Arial Narrow" w:cs="Calibri"/>
                <w:b w:val="0"/>
                <w:szCs w:val="24"/>
                <w:lang w:eastAsia="es-MX"/>
              </w:rPr>
              <w:t xml:space="preserve"> Muebles, Inmuebles e Intangibles</w:t>
            </w:r>
          </w:p>
        </w:tc>
        <w:tc>
          <w:tcPr>
            <w:tcW w:w="1701" w:type="dxa"/>
          </w:tcPr>
          <w:p w14:paraId="0B1198A6" w14:textId="7C375C74" w:rsidR="00D851FC" w:rsidRPr="00D1224F" w:rsidRDefault="00D8734A"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8734A">
              <w:rPr>
                <w:rFonts w:ascii="Arial Narrow" w:eastAsia="Times New Roman" w:hAnsi="Arial Narrow" w:cs="Calibri"/>
                <w:szCs w:val="24"/>
                <w:lang w:eastAsia="es-MX"/>
              </w:rPr>
              <w:t>45,874,012.00</w:t>
            </w:r>
          </w:p>
        </w:tc>
        <w:tc>
          <w:tcPr>
            <w:tcW w:w="1701" w:type="dxa"/>
            <w:noWrap/>
            <w:vAlign w:val="center"/>
          </w:tcPr>
          <w:p w14:paraId="3D19CC01" w14:textId="77777777" w:rsidR="00D851FC" w:rsidRPr="00D1224F" w:rsidRDefault="00D851FC" w:rsidP="00D851FC">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r>
      <w:tr w:rsidR="00E82074" w:rsidRPr="00AA4FD4" w14:paraId="030745E2" w14:textId="77777777" w:rsidTr="006F38C4">
        <w:trPr>
          <w:trHeight w:val="20"/>
        </w:trPr>
        <w:tc>
          <w:tcPr>
            <w:cnfStyle w:val="001000000000" w:firstRow="0" w:lastRow="0" w:firstColumn="1" w:lastColumn="0" w:oddVBand="0" w:evenVBand="0" w:oddHBand="0" w:evenHBand="0" w:firstRowFirstColumn="0" w:firstRowLastColumn="0" w:lastRowFirstColumn="0" w:lastRowLastColumn="0"/>
            <w:tcW w:w="5949" w:type="dxa"/>
            <w:noWrap/>
            <w:vAlign w:val="center"/>
            <w:hideMark/>
          </w:tcPr>
          <w:p w14:paraId="17937294" w14:textId="77777777" w:rsidR="00E82074" w:rsidRPr="006F38C4" w:rsidRDefault="00E82074" w:rsidP="00B72F1E">
            <w:pPr>
              <w:rPr>
                <w:rFonts w:ascii="Arial Narrow" w:eastAsia="Times New Roman" w:hAnsi="Arial Narrow" w:cs="Calibri"/>
                <w:b w:val="0"/>
                <w:szCs w:val="24"/>
                <w:lang w:eastAsia="es-MX"/>
              </w:rPr>
            </w:pPr>
            <w:r w:rsidRPr="006F38C4">
              <w:rPr>
                <w:rFonts w:ascii="Arial Narrow" w:eastAsia="Times New Roman" w:hAnsi="Arial Narrow" w:cs="Calibri"/>
                <w:b w:val="0"/>
                <w:szCs w:val="24"/>
                <w:lang w:eastAsia="es-MX"/>
              </w:rPr>
              <w:t xml:space="preserve">6000 </w:t>
            </w:r>
            <w:proofErr w:type="gramStart"/>
            <w:r w:rsidRPr="006F38C4">
              <w:rPr>
                <w:rFonts w:ascii="Arial Narrow" w:eastAsia="Times New Roman" w:hAnsi="Arial Narrow" w:cs="Calibri"/>
                <w:b w:val="0"/>
                <w:szCs w:val="24"/>
                <w:lang w:eastAsia="es-MX"/>
              </w:rPr>
              <w:t>Inversión</w:t>
            </w:r>
            <w:proofErr w:type="gramEnd"/>
            <w:r w:rsidRPr="006F38C4">
              <w:rPr>
                <w:rFonts w:ascii="Arial Narrow" w:eastAsia="Times New Roman" w:hAnsi="Arial Narrow" w:cs="Calibri"/>
                <w:b w:val="0"/>
                <w:szCs w:val="24"/>
                <w:lang w:eastAsia="es-MX"/>
              </w:rPr>
              <w:t xml:space="preserve"> Pública</w:t>
            </w:r>
          </w:p>
        </w:tc>
        <w:tc>
          <w:tcPr>
            <w:tcW w:w="1701" w:type="dxa"/>
            <w:vAlign w:val="center"/>
          </w:tcPr>
          <w:p w14:paraId="0E9F671E" w14:textId="77777777" w:rsidR="00E82074" w:rsidRPr="00AA4FD4" w:rsidRDefault="00E82074" w:rsidP="00B72F1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p>
        </w:tc>
        <w:tc>
          <w:tcPr>
            <w:tcW w:w="1701" w:type="dxa"/>
            <w:noWrap/>
            <w:vAlign w:val="center"/>
            <w:hideMark/>
          </w:tcPr>
          <w:p w14:paraId="1443AB17" w14:textId="38228673" w:rsidR="00E82074" w:rsidRPr="00D1224F" w:rsidRDefault="00D8734A" w:rsidP="00B72F1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lang w:eastAsia="es-MX"/>
              </w:rPr>
            </w:pPr>
            <w:r w:rsidRPr="00D8734A">
              <w:rPr>
                <w:rFonts w:ascii="Arial Narrow" w:eastAsia="Times New Roman" w:hAnsi="Arial Narrow" w:cs="Calibri"/>
                <w:szCs w:val="24"/>
                <w:lang w:eastAsia="es-MX"/>
              </w:rPr>
              <w:t>-92,626,978.00</w:t>
            </w:r>
          </w:p>
        </w:tc>
      </w:tr>
      <w:tr w:rsidR="00E82074" w:rsidRPr="00AA4FD4" w14:paraId="6353730E" w14:textId="77777777" w:rsidTr="006F38C4">
        <w:trPr>
          <w:trHeight w:val="20"/>
        </w:trPr>
        <w:tc>
          <w:tcPr>
            <w:cnfStyle w:val="001000000000" w:firstRow="0" w:lastRow="0" w:firstColumn="1" w:lastColumn="0" w:oddVBand="0" w:evenVBand="0" w:oddHBand="0" w:evenHBand="0" w:firstRowFirstColumn="0" w:firstRowLastColumn="0" w:lastRowFirstColumn="0" w:lastRowLastColumn="0"/>
            <w:tcW w:w="5949" w:type="dxa"/>
            <w:noWrap/>
            <w:hideMark/>
          </w:tcPr>
          <w:p w14:paraId="4910AF3D" w14:textId="77777777" w:rsidR="00E82074" w:rsidRPr="00D1224F" w:rsidRDefault="00E82074" w:rsidP="00B72F1E">
            <w:pPr>
              <w:jc w:val="center"/>
              <w:rPr>
                <w:rFonts w:ascii="Arial Narrow" w:eastAsia="Times New Roman" w:hAnsi="Arial Narrow" w:cs="Calibri"/>
                <w:b w:val="0"/>
                <w:bCs w:val="0"/>
                <w:szCs w:val="24"/>
                <w:lang w:eastAsia="es-MX"/>
              </w:rPr>
            </w:pPr>
            <w:r w:rsidRPr="00D1224F">
              <w:rPr>
                <w:rFonts w:ascii="Arial Narrow" w:eastAsia="Times New Roman" w:hAnsi="Arial Narrow" w:cs="Calibri"/>
                <w:szCs w:val="24"/>
                <w:lang w:eastAsia="es-MX"/>
              </w:rPr>
              <w:t>Total</w:t>
            </w:r>
          </w:p>
        </w:tc>
        <w:tc>
          <w:tcPr>
            <w:tcW w:w="1701" w:type="dxa"/>
            <w:vAlign w:val="center"/>
          </w:tcPr>
          <w:p w14:paraId="201FA396" w14:textId="57B6D50B" w:rsidR="00E82074" w:rsidRPr="00882E44" w:rsidRDefault="00D8734A" w:rsidP="00B72F1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rsidRPr="00D8734A">
              <w:rPr>
                <w:rFonts w:ascii="Arial Narrow" w:eastAsia="Times New Roman" w:hAnsi="Arial Narrow" w:cs="Calibri"/>
                <w:b/>
                <w:bCs/>
                <w:szCs w:val="24"/>
                <w:lang w:eastAsia="es-MX"/>
              </w:rPr>
              <w:t>92,626,978.00</w:t>
            </w:r>
          </w:p>
        </w:tc>
        <w:tc>
          <w:tcPr>
            <w:tcW w:w="1701" w:type="dxa"/>
            <w:noWrap/>
            <w:vAlign w:val="center"/>
            <w:hideMark/>
          </w:tcPr>
          <w:p w14:paraId="78D37599" w14:textId="08118298" w:rsidR="00E82074" w:rsidRPr="00882E44" w:rsidRDefault="00D8734A" w:rsidP="00B72F1E">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szCs w:val="24"/>
                <w:lang w:eastAsia="es-MX"/>
              </w:rPr>
            </w:pPr>
            <w:r>
              <w:t xml:space="preserve"> </w:t>
            </w:r>
            <w:r w:rsidRPr="00D8734A">
              <w:rPr>
                <w:rFonts w:ascii="Arial Narrow" w:eastAsia="Times New Roman" w:hAnsi="Arial Narrow" w:cs="Calibri"/>
                <w:b/>
                <w:bCs/>
                <w:szCs w:val="24"/>
                <w:lang w:eastAsia="es-MX"/>
              </w:rPr>
              <w:t>-92,626,978.00</w:t>
            </w:r>
          </w:p>
        </w:tc>
      </w:tr>
    </w:tbl>
    <w:p w14:paraId="08A20ECD" w14:textId="77777777" w:rsidR="00524C8F" w:rsidRDefault="00524C8F" w:rsidP="00CA2952">
      <w:pPr>
        <w:pStyle w:val="Sinespaciado"/>
        <w:tabs>
          <w:tab w:val="left" w:pos="8931"/>
        </w:tabs>
        <w:spacing w:line="360" w:lineRule="auto"/>
        <w:jc w:val="both"/>
        <w:rPr>
          <w:rFonts w:ascii="Arial Narrow" w:eastAsiaTheme="minorHAnsi" w:hAnsi="Arial Narrow"/>
          <w:sz w:val="24"/>
          <w:szCs w:val="24"/>
        </w:rPr>
      </w:pPr>
    </w:p>
    <w:p w14:paraId="1371BF53" w14:textId="35D8BE2C" w:rsidR="006B4CDB" w:rsidRDefault="00524C8F" w:rsidP="00CA2952">
      <w:pPr>
        <w:pStyle w:val="Sinespaciado"/>
        <w:tabs>
          <w:tab w:val="left" w:pos="8931"/>
        </w:tabs>
        <w:spacing w:line="360" w:lineRule="auto"/>
        <w:jc w:val="both"/>
        <w:rPr>
          <w:rFonts w:ascii="Arial Narrow" w:eastAsiaTheme="minorHAnsi" w:hAnsi="Arial Narrow"/>
          <w:sz w:val="24"/>
          <w:szCs w:val="24"/>
        </w:rPr>
      </w:pPr>
      <w:r>
        <w:rPr>
          <w:rFonts w:ascii="Arial Narrow" w:eastAsiaTheme="minorHAnsi" w:hAnsi="Arial Narrow"/>
          <w:sz w:val="24"/>
          <w:szCs w:val="24"/>
        </w:rPr>
        <w:t>La</w:t>
      </w:r>
      <w:r w:rsidR="005D0D89">
        <w:rPr>
          <w:rFonts w:ascii="Arial Narrow" w:eastAsiaTheme="minorHAnsi" w:hAnsi="Arial Narrow"/>
          <w:sz w:val="24"/>
          <w:szCs w:val="24"/>
        </w:rPr>
        <w:t>s</w:t>
      </w:r>
      <w:r>
        <w:rPr>
          <w:rFonts w:ascii="Arial Narrow" w:eastAsiaTheme="minorHAnsi" w:hAnsi="Arial Narrow"/>
          <w:sz w:val="24"/>
          <w:szCs w:val="24"/>
        </w:rPr>
        <w:t xml:space="preserve"> transferencia</w:t>
      </w:r>
      <w:r w:rsidR="005D0D89">
        <w:rPr>
          <w:rFonts w:ascii="Arial Narrow" w:eastAsiaTheme="minorHAnsi" w:hAnsi="Arial Narrow"/>
          <w:sz w:val="24"/>
          <w:szCs w:val="24"/>
        </w:rPr>
        <w:t>s</w:t>
      </w:r>
      <w:r>
        <w:rPr>
          <w:rFonts w:ascii="Arial Narrow" w:eastAsiaTheme="minorHAnsi" w:hAnsi="Arial Narrow"/>
          <w:sz w:val="24"/>
          <w:szCs w:val="24"/>
        </w:rPr>
        <w:t xml:space="preserve"> al capítulo 1000 Servicios Personales corresponden a pago de sentencias laborales definitivas</w:t>
      </w:r>
      <w:r w:rsidR="003502DE">
        <w:rPr>
          <w:rFonts w:ascii="Arial Narrow" w:eastAsiaTheme="minorHAnsi" w:hAnsi="Arial Narrow"/>
          <w:sz w:val="24"/>
          <w:szCs w:val="24"/>
        </w:rPr>
        <w:t xml:space="preserve"> emitidas por autoridad competente.</w:t>
      </w:r>
    </w:p>
    <w:p w14:paraId="0BED6DAA" w14:textId="77777777" w:rsidR="00F13B39" w:rsidRDefault="00F13B39" w:rsidP="00CA2952">
      <w:pPr>
        <w:pStyle w:val="Sinespaciado"/>
        <w:tabs>
          <w:tab w:val="left" w:pos="8931"/>
        </w:tabs>
        <w:spacing w:line="360" w:lineRule="auto"/>
        <w:jc w:val="both"/>
        <w:rPr>
          <w:rFonts w:ascii="Arial Narrow" w:eastAsiaTheme="minorHAnsi" w:hAnsi="Arial Narrow"/>
          <w:sz w:val="24"/>
          <w:szCs w:val="24"/>
        </w:rPr>
      </w:pPr>
    </w:p>
    <w:p w14:paraId="0DC58176" w14:textId="77777777" w:rsidR="006B4CDB" w:rsidRDefault="006B4CDB" w:rsidP="00A73F01">
      <w:pPr>
        <w:pStyle w:val="Sinespaciado"/>
        <w:spacing w:line="360" w:lineRule="auto"/>
        <w:jc w:val="both"/>
        <w:rPr>
          <w:rFonts w:ascii="Arial Narrow" w:eastAsiaTheme="minorHAnsi" w:hAnsi="Arial Narrow"/>
          <w:sz w:val="24"/>
          <w:szCs w:val="24"/>
        </w:rPr>
      </w:pPr>
      <w:r>
        <w:rPr>
          <w:rFonts w:ascii="Arial Narrow" w:eastAsiaTheme="minorHAnsi" w:hAnsi="Arial Narrow"/>
          <w:sz w:val="24"/>
          <w:szCs w:val="24"/>
        </w:rPr>
        <w:t>Movimientos en la Estructura orgánica:</w:t>
      </w:r>
    </w:p>
    <w:p w14:paraId="462C72A4" w14:textId="77777777" w:rsidR="000E30ED" w:rsidRDefault="000E30ED" w:rsidP="00F13B39">
      <w:pPr>
        <w:pStyle w:val="Sinespaciado"/>
        <w:spacing w:line="360" w:lineRule="auto"/>
        <w:jc w:val="both"/>
        <w:rPr>
          <w:rFonts w:ascii="Arial Narrow" w:eastAsiaTheme="minorHAnsi" w:hAnsi="Arial Narrow"/>
          <w:sz w:val="24"/>
          <w:szCs w:val="24"/>
        </w:rPr>
      </w:pPr>
    </w:p>
    <w:p w14:paraId="727DCCC7" w14:textId="7DBBE468" w:rsidR="00F13B39" w:rsidRPr="004C348F" w:rsidRDefault="003C4940" w:rsidP="00F13B39">
      <w:pPr>
        <w:pStyle w:val="Sinespaciado"/>
        <w:spacing w:line="360" w:lineRule="auto"/>
        <w:jc w:val="both"/>
        <w:rPr>
          <w:rFonts w:ascii="Arial Narrow" w:eastAsiaTheme="minorHAnsi" w:hAnsi="Arial Narrow"/>
          <w:sz w:val="24"/>
          <w:szCs w:val="24"/>
        </w:rPr>
      </w:pPr>
      <w:r w:rsidRPr="005D0D89">
        <w:rPr>
          <w:rFonts w:ascii="Arial Narrow" w:eastAsiaTheme="minorHAnsi" w:hAnsi="Arial Narrow"/>
          <w:sz w:val="24"/>
          <w:szCs w:val="24"/>
        </w:rPr>
        <w:t>Durante el ejercicio, en el mes de enero cerró el Departamento de Soporte y Operación de Salas de Juicio Oral en Materia Penal y en el mes de octubre cerró el juzgado 3º Penal de Morelia.</w:t>
      </w:r>
      <w:r w:rsidR="000E30ED" w:rsidRPr="005D0D89">
        <w:rPr>
          <w:rFonts w:ascii="Arial Narrow" w:eastAsiaTheme="minorHAnsi" w:hAnsi="Arial Narrow"/>
          <w:sz w:val="24"/>
          <w:szCs w:val="24"/>
        </w:rPr>
        <w:t xml:space="preserve"> </w:t>
      </w:r>
      <w:r w:rsidR="00F13B39" w:rsidRPr="005D0D89">
        <w:rPr>
          <w:rFonts w:ascii="Arial Narrow" w:eastAsiaTheme="minorHAnsi" w:hAnsi="Arial Narrow"/>
          <w:sz w:val="24"/>
          <w:szCs w:val="24"/>
        </w:rPr>
        <w:t xml:space="preserve">En el mes de </w:t>
      </w:r>
      <w:r w:rsidRPr="005D0D89">
        <w:rPr>
          <w:rFonts w:ascii="Arial Narrow" w:eastAsiaTheme="minorHAnsi" w:hAnsi="Arial Narrow"/>
          <w:sz w:val="24"/>
          <w:szCs w:val="24"/>
        </w:rPr>
        <w:t>dic</w:t>
      </w:r>
      <w:r w:rsidR="00F13B39" w:rsidRPr="005D0D89">
        <w:rPr>
          <w:rFonts w:ascii="Arial Narrow" w:eastAsiaTheme="minorHAnsi" w:hAnsi="Arial Narrow"/>
          <w:sz w:val="24"/>
          <w:szCs w:val="24"/>
        </w:rPr>
        <w:t xml:space="preserve">iembre no existieron cambios respecto al mes de </w:t>
      </w:r>
      <w:r w:rsidRPr="005D0D89">
        <w:rPr>
          <w:rFonts w:ascii="Arial Narrow" w:eastAsiaTheme="minorHAnsi" w:hAnsi="Arial Narrow"/>
          <w:sz w:val="24"/>
          <w:szCs w:val="24"/>
        </w:rPr>
        <w:t>noviem</w:t>
      </w:r>
      <w:r w:rsidR="00F13B39" w:rsidRPr="005D0D89">
        <w:rPr>
          <w:rFonts w:ascii="Arial Narrow" w:eastAsiaTheme="minorHAnsi" w:hAnsi="Arial Narrow"/>
          <w:sz w:val="24"/>
          <w:szCs w:val="24"/>
        </w:rPr>
        <w:t>bre</w:t>
      </w:r>
      <w:r w:rsidR="00F13B39">
        <w:rPr>
          <w:rFonts w:ascii="Arial Narrow" w:eastAsiaTheme="minorHAnsi" w:hAnsi="Arial Narrow"/>
          <w:sz w:val="24"/>
          <w:szCs w:val="24"/>
        </w:rPr>
        <w:t>.</w:t>
      </w:r>
    </w:p>
    <w:p w14:paraId="6D044915" w14:textId="77747175" w:rsidR="00A73F01" w:rsidRPr="004C348F" w:rsidRDefault="00A73F01" w:rsidP="00A73F01">
      <w:pPr>
        <w:pStyle w:val="Sinespaciado"/>
        <w:spacing w:line="360" w:lineRule="auto"/>
        <w:jc w:val="both"/>
        <w:rPr>
          <w:rFonts w:ascii="Arial Narrow" w:eastAsiaTheme="minorHAnsi" w:hAnsi="Arial Narrow"/>
          <w:sz w:val="24"/>
          <w:szCs w:val="24"/>
        </w:rPr>
      </w:pPr>
    </w:p>
    <w:p w14:paraId="587493D4" w14:textId="2C6F0B0B" w:rsidR="00A73F01" w:rsidRDefault="00A73F01" w:rsidP="00A73F01">
      <w:pPr>
        <w:pStyle w:val="Sinespaciado"/>
        <w:ind w:left="360"/>
        <w:jc w:val="center"/>
        <w:rPr>
          <w:rFonts w:ascii="Arial Narrow" w:eastAsiaTheme="minorHAnsi" w:hAnsi="Arial Narrow"/>
          <w:b/>
          <w:sz w:val="24"/>
          <w:szCs w:val="24"/>
        </w:rPr>
      </w:pPr>
    </w:p>
    <w:p w14:paraId="3B076B48" w14:textId="26AB6B2C" w:rsidR="0079213F" w:rsidRDefault="0079213F" w:rsidP="00A73F01">
      <w:pPr>
        <w:pStyle w:val="Sinespaciado"/>
        <w:ind w:left="360"/>
        <w:jc w:val="center"/>
        <w:rPr>
          <w:rFonts w:ascii="Arial Narrow" w:eastAsiaTheme="minorHAnsi" w:hAnsi="Arial Narrow"/>
          <w:b/>
          <w:sz w:val="24"/>
          <w:szCs w:val="24"/>
        </w:rPr>
      </w:pPr>
    </w:p>
    <w:p w14:paraId="193B2B70" w14:textId="77777777" w:rsidR="0079213F" w:rsidRPr="004C348F" w:rsidRDefault="0079213F" w:rsidP="00A73F01">
      <w:pPr>
        <w:pStyle w:val="Sinespaciado"/>
        <w:ind w:left="360"/>
        <w:jc w:val="center"/>
        <w:rPr>
          <w:rFonts w:ascii="Arial Narrow" w:eastAsiaTheme="minorHAnsi" w:hAnsi="Arial Narrow"/>
          <w:b/>
          <w:sz w:val="24"/>
          <w:szCs w:val="24"/>
        </w:rPr>
      </w:pPr>
    </w:p>
    <w:p w14:paraId="0B5806C2" w14:textId="77777777" w:rsidR="00CE170C" w:rsidRPr="009A59B7" w:rsidRDefault="00CE170C" w:rsidP="00CE170C">
      <w:pPr>
        <w:pStyle w:val="Sinespaciado"/>
        <w:ind w:left="360"/>
        <w:jc w:val="center"/>
        <w:rPr>
          <w:rFonts w:ascii="Arial Narrow" w:eastAsiaTheme="minorHAnsi" w:hAnsi="Arial Narrow"/>
          <w:b/>
          <w:color w:val="000000" w:themeColor="text1"/>
          <w:sz w:val="24"/>
          <w:szCs w:val="24"/>
        </w:rPr>
      </w:pPr>
    </w:p>
    <w:p w14:paraId="4B07F2AE" w14:textId="77777777" w:rsidR="00FA587F" w:rsidRPr="009A59B7" w:rsidRDefault="006B4CDB" w:rsidP="001849BD">
      <w:pPr>
        <w:pStyle w:val="Sinespaciado"/>
        <w:ind w:left="360"/>
        <w:jc w:val="center"/>
        <w:rPr>
          <w:rFonts w:ascii="Arial Narrow" w:eastAsiaTheme="minorHAnsi" w:hAnsi="Arial Narrow"/>
          <w:b/>
          <w:color w:val="000000" w:themeColor="text1"/>
          <w:sz w:val="24"/>
          <w:szCs w:val="24"/>
        </w:rPr>
      </w:pPr>
      <w:r>
        <w:rPr>
          <w:rFonts w:ascii="Arial Narrow" w:eastAsiaTheme="minorHAnsi" w:hAnsi="Arial Narrow"/>
          <w:b/>
          <w:color w:val="000000" w:themeColor="text1"/>
          <w:sz w:val="24"/>
          <w:szCs w:val="24"/>
        </w:rPr>
        <w:t>M. en A. Javier Alcántar Hernández</w:t>
      </w:r>
    </w:p>
    <w:p w14:paraId="0AF5CB84" w14:textId="350B958C" w:rsidR="00FA587F" w:rsidRPr="009A59B7" w:rsidRDefault="00D8734A" w:rsidP="001849BD">
      <w:pPr>
        <w:pStyle w:val="Sinespaciado"/>
        <w:ind w:left="360"/>
        <w:jc w:val="center"/>
        <w:rPr>
          <w:rFonts w:ascii="Arial Narrow" w:eastAsiaTheme="minorHAnsi" w:hAnsi="Arial Narrow"/>
          <w:b/>
          <w:color w:val="000000" w:themeColor="text1"/>
          <w:sz w:val="24"/>
          <w:szCs w:val="24"/>
        </w:rPr>
      </w:pPr>
      <w:r>
        <w:rPr>
          <w:rFonts w:ascii="Arial Narrow" w:eastAsiaTheme="minorHAnsi" w:hAnsi="Arial Narrow"/>
          <w:b/>
          <w:color w:val="000000" w:themeColor="text1"/>
          <w:sz w:val="24"/>
          <w:szCs w:val="24"/>
        </w:rPr>
        <w:t>Secretario</w:t>
      </w:r>
      <w:r w:rsidR="00FA587F" w:rsidRPr="009A59B7">
        <w:rPr>
          <w:rFonts w:ascii="Arial Narrow" w:eastAsiaTheme="minorHAnsi" w:hAnsi="Arial Narrow"/>
          <w:b/>
          <w:color w:val="000000" w:themeColor="text1"/>
          <w:sz w:val="24"/>
          <w:szCs w:val="24"/>
        </w:rPr>
        <w:t xml:space="preserve"> de Administración del </w:t>
      </w:r>
    </w:p>
    <w:p w14:paraId="128D3350" w14:textId="77777777" w:rsidR="00F97BAF" w:rsidRPr="009A59B7" w:rsidRDefault="00FA587F" w:rsidP="001849BD">
      <w:pPr>
        <w:spacing w:line="240" w:lineRule="auto"/>
        <w:ind w:left="360"/>
        <w:jc w:val="center"/>
        <w:rPr>
          <w:rFonts w:ascii="Arial Narrow" w:hAnsi="Arial Narrow" w:cs="Times New Roman"/>
          <w:b/>
          <w:color w:val="000000" w:themeColor="text1"/>
          <w:sz w:val="24"/>
          <w:szCs w:val="24"/>
        </w:rPr>
      </w:pPr>
      <w:r w:rsidRPr="009A59B7">
        <w:rPr>
          <w:rFonts w:ascii="Arial Narrow" w:hAnsi="Arial Narrow" w:cs="Times New Roman"/>
          <w:b/>
          <w:color w:val="000000" w:themeColor="text1"/>
          <w:sz w:val="24"/>
          <w:szCs w:val="24"/>
        </w:rPr>
        <w:t>Consejo del Poder Judicial</w:t>
      </w:r>
    </w:p>
    <w:sectPr w:rsidR="00F97BAF" w:rsidRPr="009A59B7" w:rsidSect="00063352">
      <w:headerReference w:type="default" r:id="rId7"/>
      <w:footerReference w:type="default" r:id="rId8"/>
      <w:pgSz w:w="12240" w:h="15840" w:code="1"/>
      <w:pgMar w:top="284" w:right="1418" w:bottom="1134"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34DC" w14:textId="77777777" w:rsidR="000977BC" w:rsidRDefault="000977BC" w:rsidP="003669D8">
      <w:pPr>
        <w:spacing w:after="0" w:line="240" w:lineRule="auto"/>
      </w:pPr>
      <w:r>
        <w:separator/>
      </w:r>
    </w:p>
  </w:endnote>
  <w:endnote w:type="continuationSeparator" w:id="0">
    <w:p w14:paraId="446909B4" w14:textId="77777777" w:rsidR="000977BC" w:rsidRDefault="000977BC" w:rsidP="0036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5955" w14:textId="77777777" w:rsidR="003669D8" w:rsidRPr="00063352" w:rsidRDefault="00063352" w:rsidP="00063352">
    <w:pPr>
      <w:tabs>
        <w:tab w:val="center" w:pos="4550"/>
        <w:tab w:val="left" w:pos="5818"/>
      </w:tabs>
      <w:ind w:right="260"/>
      <w:rPr>
        <w:color w:val="222A35" w:themeColor="text2" w:themeShade="80"/>
        <w:sz w:val="20"/>
        <w:szCs w:val="20"/>
      </w:rPr>
    </w:pP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r>
    <w:r>
      <w:rPr>
        <w:color w:val="8496B0" w:themeColor="text2" w:themeTint="99"/>
        <w:spacing w:val="60"/>
        <w:sz w:val="20"/>
        <w:szCs w:val="20"/>
        <w:lang w:val="es-ES"/>
      </w:rPr>
      <w:tab/>
      <w:t>P</w:t>
    </w:r>
    <w:r w:rsidR="003669D8" w:rsidRPr="00063352">
      <w:rPr>
        <w:color w:val="8496B0" w:themeColor="text2" w:themeTint="99"/>
        <w:spacing w:val="60"/>
        <w:sz w:val="20"/>
        <w:szCs w:val="20"/>
        <w:lang w:val="es-ES"/>
      </w:rPr>
      <w:t>ágina</w:t>
    </w:r>
    <w:r w:rsidR="003669D8" w:rsidRPr="00063352">
      <w:rPr>
        <w:color w:val="8496B0" w:themeColor="text2" w:themeTint="99"/>
        <w:sz w:val="20"/>
        <w:szCs w:val="20"/>
        <w:lang w:val="es-ES"/>
      </w:rPr>
      <w:t xml:space="preserve"> </w:t>
    </w:r>
    <w:r w:rsidR="003669D8" w:rsidRPr="00063352">
      <w:rPr>
        <w:color w:val="323E4F" w:themeColor="text2" w:themeShade="BF"/>
        <w:sz w:val="20"/>
        <w:szCs w:val="20"/>
      </w:rPr>
      <w:fldChar w:fldCharType="begin"/>
    </w:r>
    <w:r w:rsidR="003669D8" w:rsidRPr="00063352">
      <w:rPr>
        <w:color w:val="323E4F" w:themeColor="text2" w:themeShade="BF"/>
        <w:sz w:val="20"/>
        <w:szCs w:val="20"/>
      </w:rPr>
      <w:instrText>PAGE   \* MERGEFORMAT</w:instrText>
    </w:r>
    <w:r w:rsidR="003669D8" w:rsidRPr="00063352">
      <w:rPr>
        <w:color w:val="323E4F" w:themeColor="text2" w:themeShade="BF"/>
        <w:sz w:val="20"/>
        <w:szCs w:val="20"/>
      </w:rPr>
      <w:fldChar w:fldCharType="separate"/>
    </w:r>
    <w:r w:rsidR="00EC74A8" w:rsidRPr="00EC74A8">
      <w:rPr>
        <w:noProof/>
        <w:color w:val="323E4F" w:themeColor="text2" w:themeShade="BF"/>
        <w:sz w:val="20"/>
        <w:szCs w:val="20"/>
        <w:lang w:val="es-ES"/>
      </w:rPr>
      <w:t>1</w:t>
    </w:r>
    <w:r w:rsidR="003669D8" w:rsidRPr="00063352">
      <w:rPr>
        <w:color w:val="323E4F" w:themeColor="text2" w:themeShade="BF"/>
        <w:sz w:val="20"/>
        <w:szCs w:val="20"/>
      </w:rPr>
      <w:fldChar w:fldCharType="end"/>
    </w:r>
    <w:r w:rsidR="003669D8" w:rsidRPr="00063352">
      <w:rPr>
        <w:color w:val="323E4F" w:themeColor="text2" w:themeShade="BF"/>
        <w:sz w:val="20"/>
        <w:szCs w:val="20"/>
        <w:lang w:val="es-ES"/>
      </w:rPr>
      <w:t xml:space="preserve"> | </w:t>
    </w:r>
    <w:r w:rsidR="003669D8" w:rsidRPr="00063352">
      <w:rPr>
        <w:color w:val="323E4F" w:themeColor="text2" w:themeShade="BF"/>
        <w:sz w:val="20"/>
        <w:szCs w:val="20"/>
      </w:rPr>
      <w:fldChar w:fldCharType="begin"/>
    </w:r>
    <w:r w:rsidR="003669D8" w:rsidRPr="00063352">
      <w:rPr>
        <w:color w:val="323E4F" w:themeColor="text2" w:themeShade="BF"/>
        <w:sz w:val="20"/>
        <w:szCs w:val="20"/>
      </w:rPr>
      <w:instrText>NUMPAGES  \* Arabic  \* MERGEFORMAT</w:instrText>
    </w:r>
    <w:r w:rsidR="003669D8" w:rsidRPr="00063352">
      <w:rPr>
        <w:color w:val="323E4F" w:themeColor="text2" w:themeShade="BF"/>
        <w:sz w:val="20"/>
        <w:szCs w:val="20"/>
      </w:rPr>
      <w:fldChar w:fldCharType="separate"/>
    </w:r>
    <w:r w:rsidR="00EC74A8" w:rsidRPr="00EC74A8">
      <w:rPr>
        <w:noProof/>
        <w:color w:val="323E4F" w:themeColor="text2" w:themeShade="BF"/>
        <w:sz w:val="20"/>
        <w:szCs w:val="20"/>
        <w:lang w:val="es-ES"/>
      </w:rPr>
      <w:t>1</w:t>
    </w:r>
    <w:r w:rsidR="003669D8" w:rsidRPr="00063352">
      <w:rPr>
        <w:color w:val="323E4F" w:themeColor="text2" w:themeShade="BF"/>
        <w:sz w:val="20"/>
        <w:szCs w:val="20"/>
      </w:rPr>
      <w:fldChar w:fldCharType="end"/>
    </w:r>
  </w:p>
  <w:p w14:paraId="1500C356" w14:textId="77777777" w:rsidR="003669D8" w:rsidRDefault="003669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B5FB" w14:textId="77777777" w:rsidR="000977BC" w:rsidRDefault="000977BC" w:rsidP="003669D8">
      <w:pPr>
        <w:spacing w:after="0" w:line="240" w:lineRule="auto"/>
      </w:pPr>
      <w:r>
        <w:separator/>
      </w:r>
    </w:p>
  </w:footnote>
  <w:footnote w:type="continuationSeparator" w:id="0">
    <w:p w14:paraId="2D7E192A" w14:textId="77777777" w:rsidR="000977BC" w:rsidRDefault="000977BC" w:rsidP="0036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4DF2" w14:textId="77777777" w:rsidR="00BB71EC" w:rsidRDefault="00BF3F0E" w:rsidP="00063352">
    <w:pPr>
      <w:pStyle w:val="Encabezado"/>
      <w:jc w:val="right"/>
    </w:pPr>
    <w:r>
      <w:rPr>
        <w:noProof/>
        <w:lang w:eastAsia="es-MX"/>
      </w:rPr>
      <w:drawing>
        <wp:anchor distT="0" distB="0" distL="114300" distR="114300" simplePos="0" relativeHeight="251659264" behindDoc="0" locked="0" layoutInCell="1" allowOverlap="1" wp14:anchorId="6E54B8E6" wp14:editId="43465407">
          <wp:simplePos x="0" y="0"/>
          <wp:positionH relativeFrom="column">
            <wp:posOffset>-476250</wp:posOffset>
          </wp:positionH>
          <wp:positionV relativeFrom="paragraph">
            <wp:posOffset>-266700</wp:posOffset>
          </wp:positionV>
          <wp:extent cx="3147060" cy="638175"/>
          <wp:effectExtent l="0" t="0" r="0" b="9525"/>
          <wp:wrapSquare wrapText="bothSides"/>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147060" cy="638175"/>
                  </a:xfrm>
                  <a:prstGeom prst="rect">
                    <a:avLst/>
                  </a:prstGeom>
                  <a:noFill/>
                </pic:spPr>
              </pic:pic>
            </a:graphicData>
          </a:graphic>
          <wp14:sizeRelH relativeFrom="page">
            <wp14:pctWidth>0</wp14:pctWidth>
          </wp14:sizeRelH>
          <wp14:sizeRelV relativeFrom="page">
            <wp14:pctHeight>0</wp14:pctHeight>
          </wp14:sizeRelV>
        </wp:anchor>
      </w:drawing>
    </w:r>
    <w:r w:rsidR="00BB71EC">
      <w:rPr>
        <w:noProof/>
        <w:lang w:eastAsia="es-MX"/>
      </w:rPr>
      <mc:AlternateContent>
        <mc:Choice Requires="wps">
          <w:drawing>
            <wp:anchor distT="45720" distB="45720" distL="114300" distR="114300" simplePos="0" relativeHeight="251661312" behindDoc="0" locked="0" layoutInCell="1" allowOverlap="1" wp14:anchorId="7C126FC6" wp14:editId="6A56F9F6">
              <wp:simplePos x="0" y="0"/>
              <wp:positionH relativeFrom="column">
                <wp:posOffset>2785745</wp:posOffset>
              </wp:positionH>
              <wp:positionV relativeFrom="paragraph">
                <wp:posOffset>-217170</wp:posOffset>
              </wp:positionV>
              <wp:extent cx="4284980" cy="638175"/>
              <wp:effectExtent l="0" t="0" r="1270"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03619" w14:textId="77777777" w:rsidR="00BB71EC" w:rsidRPr="00131F05" w:rsidRDefault="00BB71EC" w:rsidP="00466FD2">
                          <w:pPr>
                            <w:pStyle w:val="Sinespaciado"/>
                            <w:ind w:left="-284" w:firstLine="141"/>
                            <w:jc w:val="center"/>
                            <w:rPr>
                              <w:rFonts w:ascii="Georgia" w:hAnsi="Georgia"/>
                              <w:sz w:val="21"/>
                              <w:szCs w:val="21"/>
                            </w:rPr>
                          </w:pPr>
                          <w:r w:rsidRPr="00131F05">
                            <w:rPr>
                              <w:rFonts w:ascii="Georgia" w:hAnsi="Georgia"/>
                              <w:sz w:val="21"/>
                              <w:szCs w:val="21"/>
                            </w:rPr>
                            <w:t>Consejo del Poder Judicial</w:t>
                          </w:r>
                        </w:p>
                        <w:p w14:paraId="59E82DDA" w14:textId="77777777" w:rsidR="00BB71EC" w:rsidRPr="00151922" w:rsidRDefault="00BB71EC" w:rsidP="00BB71EC">
                          <w:pPr>
                            <w:jc w:val="center"/>
                            <w:rPr>
                              <w:rFonts w:ascii="Georgia" w:hAnsi="Georgia" w:cs="Microsoft Sans Serif"/>
                              <w:color w:val="1F333E"/>
                              <w:sz w:val="10"/>
                              <w:szCs w:val="10"/>
                            </w:rPr>
                          </w:pPr>
                          <w:r w:rsidRPr="00E13A8A">
                            <w:rPr>
                              <w:rFonts w:ascii="Georgia" w:hAnsi="Georgia" w:cs="Microsoft Sans Serif"/>
                              <w:noProof/>
                              <w:color w:val="1F333E"/>
                              <w:sz w:val="10"/>
                              <w:szCs w:val="10"/>
                              <w:lang w:eastAsia="es-MX"/>
                            </w:rPr>
                            <w:drawing>
                              <wp:inline distT="0" distB="0" distL="0" distR="0" wp14:anchorId="467C4DB9" wp14:editId="29BE7DD0">
                                <wp:extent cx="35909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0925" cy="19050"/>
                                        </a:xfrm>
                                        <a:prstGeom prst="rect">
                                          <a:avLst/>
                                        </a:prstGeom>
                                        <a:noFill/>
                                        <a:ln>
                                          <a:noFill/>
                                        </a:ln>
                                      </pic:spPr>
                                    </pic:pic>
                                  </a:graphicData>
                                </a:graphic>
                              </wp:inline>
                            </w:drawing>
                          </w:r>
                        </w:p>
                        <w:p w14:paraId="3B33FD0E" w14:textId="77777777" w:rsidR="00BB71EC" w:rsidRPr="003A1F64" w:rsidRDefault="00466FD2" w:rsidP="00466FD2">
                          <w:pPr>
                            <w:pStyle w:val="Sinespaciado"/>
                            <w:ind w:left="-142" w:firstLine="141"/>
                            <w:jc w:val="center"/>
                            <w:rPr>
                              <w:rFonts w:ascii="Georgia" w:hAnsi="Georgia"/>
                              <w:sz w:val="23"/>
                              <w:szCs w:val="23"/>
                            </w:rPr>
                          </w:pPr>
                          <w:r w:rsidRPr="00131F05">
                            <w:rPr>
                              <w:rFonts w:ascii="Georgia" w:hAnsi="Georgia"/>
                              <w:sz w:val="21"/>
                              <w:szCs w:val="21"/>
                            </w:rPr>
                            <w:t>Secretaría de Administración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26FC6" id="_x0000_t202" coordsize="21600,21600" o:spt="202" path="m,l,21600r21600,l21600,xe">
              <v:stroke joinstyle="miter"/>
              <v:path gradientshapeok="t" o:connecttype="rect"/>
            </v:shapetype>
            <v:shape id="Cuadro de texto 2" o:spid="_x0000_s1026" type="#_x0000_t202" style="position:absolute;left:0;text-align:left;margin-left:219.35pt;margin-top:-17.1pt;width:337.4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" stroked="f">
              <v:textbox>
                <w:txbxContent>
                  <w:p w14:paraId="25C03619" w14:textId="77777777" w:rsidR="00BB71EC" w:rsidRPr="00131F05" w:rsidRDefault="00BB71EC" w:rsidP="00466FD2">
                    <w:pPr>
                      <w:pStyle w:val="Sinespaciado"/>
                      <w:ind w:left="-284" w:firstLine="141"/>
                      <w:jc w:val="center"/>
                      <w:rPr>
                        <w:rFonts w:ascii="Georgia" w:hAnsi="Georgia"/>
                        <w:sz w:val="21"/>
                        <w:szCs w:val="21"/>
                      </w:rPr>
                    </w:pPr>
                    <w:r w:rsidRPr="00131F05">
                      <w:rPr>
                        <w:rFonts w:ascii="Georgia" w:hAnsi="Georgia"/>
                        <w:sz w:val="21"/>
                        <w:szCs w:val="21"/>
                      </w:rPr>
                      <w:t>Consejo del Poder Judicial</w:t>
                    </w:r>
                  </w:p>
                  <w:p w14:paraId="59E82DDA" w14:textId="77777777" w:rsidR="00BB71EC" w:rsidRPr="00151922" w:rsidRDefault="00BB71EC" w:rsidP="00BB71EC">
                    <w:pPr>
                      <w:jc w:val="center"/>
                      <w:rPr>
                        <w:rFonts w:ascii="Georgia" w:hAnsi="Georgia" w:cs="Microsoft Sans Serif"/>
                        <w:color w:val="1F333E"/>
                        <w:sz w:val="10"/>
                        <w:szCs w:val="10"/>
                      </w:rPr>
                    </w:pPr>
                    <w:r w:rsidRPr="00E13A8A">
                      <w:rPr>
                        <w:rFonts w:ascii="Georgia" w:hAnsi="Georgia" w:cs="Microsoft Sans Serif"/>
                        <w:noProof/>
                        <w:color w:val="1F333E"/>
                        <w:sz w:val="10"/>
                        <w:szCs w:val="10"/>
                        <w:lang w:eastAsia="es-MX"/>
                      </w:rPr>
                      <w:drawing>
                        <wp:inline distT="0" distB="0" distL="0" distR="0" wp14:anchorId="467C4DB9" wp14:editId="29BE7DD0">
                          <wp:extent cx="3590925" cy="1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0925" cy="19050"/>
                                  </a:xfrm>
                                  <a:prstGeom prst="rect">
                                    <a:avLst/>
                                  </a:prstGeom>
                                  <a:noFill/>
                                  <a:ln>
                                    <a:noFill/>
                                  </a:ln>
                                </pic:spPr>
                              </pic:pic>
                            </a:graphicData>
                          </a:graphic>
                        </wp:inline>
                      </w:drawing>
                    </w:r>
                  </w:p>
                  <w:p w14:paraId="3B33FD0E" w14:textId="77777777" w:rsidR="00BB71EC" w:rsidRPr="003A1F64" w:rsidRDefault="00466FD2" w:rsidP="00466FD2">
                    <w:pPr>
                      <w:pStyle w:val="Sinespaciado"/>
                      <w:ind w:left="-142" w:firstLine="141"/>
                      <w:jc w:val="center"/>
                      <w:rPr>
                        <w:rFonts w:ascii="Georgia" w:hAnsi="Georgia"/>
                        <w:sz w:val="23"/>
                        <w:szCs w:val="23"/>
                      </w:rPr>
                    </w:pPr>
                    <w:r w:rsidRPr="00131F05">
                      <w:rPr>
                        <w:rFonts w:ascii="Georgia" w:hAnsi="Georgia"/>
                        <w:sz w:val="21"/>
                        <w:szCs w:val="21"/>
                      </w:rPr>
                      <w:t>Secretaría de Administración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F1723"/>
    <w:multiLevelType w:val="hybridMultilevel"/>
    <w:tmpl w:val="917EFAE6"/>
    <w:lvl w:ilvl="0" w:tplc="F7EA7742">
      <w:numFmt w:val="bullet"/>
      <w:lvlText w:val=""/>
      <w:lvlJc w:val="left"/>
      <w:pPr>
        <w:ind w:left="720" w:hanging="360"/>
      </w:pPr>
      <w:rPr>
        <w:rFonts w:ascii="Symbol" w:eastAsiaTheme="minorHAns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F9"/>
    <w:rsid w:val="00011E03"/>
    <w:rsid w:val="0001313E"/>
    <w:rsid w:val="00014CD9"/>
    <w:rsid w:val="000240EF"/>
    <w:rsid w:val="000245B0"/>
    <w:rsid w:val="00030289"/>
    <w:rsid w:val="000318F3"/>
    <w:rsid w:val="00041890"/>
    <w:rsid w:val="0004189B"/>
    <w:rsid w:val="00050B3D"/>
    <w:rsid w:val="00063352"/>
    <w:rsid w:val="00063434"/>
    <w:rsid w:val="00065A09"/>
    <w:rsid w:val="0007271D"/>
    <w:rsid w:val="000808DC"/>
    <w:rsid w:val="0008383A"/>
    <w:rsid w:val="00086F65"/>
    <w:rsid w:val="00090AA4"/>
    <w:rsid w:val="000977BC"/>
    <w:rsid w:val="000A523D"/>
    <w:rsid w:val="000B012D"/>
    <w:rsid w:val="000B61BD"/>
    <w:rsid w:val="000B7BAE"/>
    <w:rsid w:val="000C166C"/>
    <w:rsid w:val="000C5086"/>
    <w:rsid w:val="000D71F9"/>
    <w:rsid w:val="000E30ED"/>
    <w:rsid w:val="000F641C"/>
    <w:rsid w:val="00100803"/>
    <w:rsid w:val="0010384F"/>
    <w:rsid w:val="001109F7"/>
    <w:rsid w:val="0011200F"/>
    <w:rsid w:val="001150B5"/>
    <w:rsid w:val="00115323"/>
    <w:rsid w:val="001169AE"/>
    <w:rsid w:val="00117D58"/>
    <w:rsid w:val="00122B6B"/>
    <w:rsid w:val="00125C42"/>
    <w:rsid w:val="00134058"/>
    <w:rsid w:val="00136504"/>
    <w:rsid w:val="001373BF"/>
    <w:rsid w:val="00143E97"/>
    <w:rsid w:val="00146891"/>
    <w:rsid w:val="00155FA6"/>
    <w:rsid w:val="00156EBF"/>
    <w:rsid w:val="0015760E"/>
    <w:rsid w:val="001701E0"/>
    <w:rsid w:val="00174B53"/>
    <w:rsid w:val="001849BD"/>
    <w:rsid w:val="001944C2"/>
    <w:rsid w:val="001A3725"/>
    <w:rsid w:val="001B07C9"/>
    <w:rsid w:val="001B0F3B"/>
    <w:rsid w:val="001C18B8"/>
    <w:rsid w:val="001C21C8"/>
    <w:rsid w:val="001C2D71"/>
    <w:rsid w:val="001C4F11"/>
    <w:rsid w:val="001C576D"/>
    <w:rsid w:val="001D66C5"/>
    <w:rsid w:val="001E68BE"/>
    <w:rsid w:val="002005D1"/>
    <w:rsid w:val="002016B2"/>
    <w:rsid w:val="00201F1A"/>
    <w:rsid w:val="00206FDE"/>
    <w:rsid w:val="002079D1"/>
    <w:rsid w:val="002103D7"/>
    <w:rsid w:val="00211CAB"/>
    <w:rsid w:val="00212488"/>
    <w:rsid w:val="00222835"/>
    <w:rsid w:val="00234EA4"/>
    <w:rsid w:val="00236A41"/>
    <w:rsid w:val="00240650"/>
    <w:rsid w:val="002470A7"/>
    <w:rsid w:val="002505FB"/>
    <w:rsid w:val="00250BFE"/>
    <w:rsid w:val="00250F2D"/>
    <w:rsid w:val="002511EB"/>
    <w:rsid w:val="00255FDB"/>
    <w:rsid w:val="00257E30"/>
    <w:rsid w:val="002608DB"/>
    <w:rsid w:val="00261A3C"/>
    <w:rsid w:val="00263E3C"/>
    <w:rsid w:val="00266EEF"/>
    <w:rsid w:val="00272D8F"/>
    <w:rsid w:val="00287E05"/>
    <w:rsid w:val="002A1430"/>
    <w:rsid w:val="002A22F2"/>
    <w:rsid w:val="002B2DCD"/>
    <w:rsid w:val="002B642E"/>
    <w:rsid w:val="002C5C4A"/>
    <w:rsid w:val="002D3533"/>
    <w:rsid w:val="002E20A9"/>
    <w:rsid w:val="002E79CE"/>
    <w:rsid w:val="002F0901"/>
    <w:rsid w:val="002F28DA"/>
    <w:rsid w:val="002F5A17"/>
    <w:rsid w:val="002F7A8A"/>
    <w:rsid w:val="00300B92"/>
    <w:rsid w:val="00301110"/>
    <w:rsid w:val="00304E92"/>
    <w:rsid w:val="00307D69"/>
    <w:rsid w:val="00310BC7"/>
    <w:rsid w:val="00312EAE"/>
    <w:rsid w:val="0032026B"/>
    <w:rsid w:val="00320E8D"/>
    <w:rsid w:val="00321F28"/>
    <w:rsid w:val="003252AD"/>
    <w:rsid w:val="00334A99"/>
    <w:rsid w:val="00336128"/>
    <w:rsid w:val="00336A45"/>
    <w:rsid w:val="00337D66"/>
    <w:rsid w:val="00340476"/>
    <w:rsid w:val="00347F79"/>
    <w:rsid w:val="003502DE"/>
    <w:rsid w:val="003669D8"/>
    <w:rsid w:val="00380F68"/>
    <w:rsid w:val="00390BA6"/>
    <w:rsid w:val="00390EA6"/>
    <w:rsid w:val="003A09ED"/>
    <w:rsid w:val="003A29B6"/>
    <w:rsid w:val="003A2DE6"/>
    <w:rsid w:val="003A6F0F"/>
    <w:rsid w:val="003B170A"/>
    <w:rsid w:val="003C20CC"/>
    <w:rsid w:val="003C48BC"/>
    <w:rsid w:val="003C4940"/>
    <w:rsid w:val="003C4B50"/>
    <w:rsid w:val="003D47D2"/>
    <w:rsid w:val="003E532A"/>
    <w:rsid w:val="003E78B3"/>
    <w:rsid w:val="003F1AD9"/>
    <w:rsid w:val="00401AD9"/>
    <w:rsid w:val="00401EE7"/>
    <w:rsid w:val="0040288A"/>
    <w:rsid w:val="004052E3"/>
    <w:rsid w:val="00420B87"/>
    <w:rsid w:val="0042208C"/>
    <w:rsid w:val="00424F9D"/>
    <w:rsid w:val="004251E0"/>
    <w:rsid w:val="00427780"/>
    <w:rsid w:val="00434676"/>
    <w:rsid w:val="00440240"/>
    <w:rsid w:val="00457BA0"/>
    <w:rsid w:val="00460C70"/>
    <w:rsid w:val="00461CE8"/>
    <w:rsid w:val="00466FD2"/>
    <w:rsid w:val="00476CEC"/>
    <w:rsid w:val="00477A75"/>
    <w:rsid w:val="00486C35"/>
    <w:rsid w:val="004908F1"/>
    <w:rsid w:val="004947A1"/>
    <w:rsid w:val="004979D7"/>
    <w:rsid w:val="004B5F16"/>
    <w:rsid w:val="004C348F"/>
    <w:rsid w:val="004C49AC"/>
    <w:rsid w:val="004C4DC5"/>
    <w:rsid w:val="004C77C1"/>
    <w:rsid w:val="004D25E4"/>
    <w:rsid w:val="004D5489"/>
    <w:rsid w:val="004E2CE7"/>
    <w:rsid w:val="004E546D"/>
    <w:rsid w:val="004F0A7A"/>
    <w:rsid w:val="004F2FBA"/>
    <w:rsid w:val="004F2FF0"/>
    <w:rsid w:val="004F3EAC"/>
    <w:rsid w:val="004F6DA6"/>
    <w:rsid w:val="005042EB"/>
    <w:rsid w:val="00516A93"/>
    <w:rsid w:val="00524C8F"/>
    <w:rsid w:val="00525007"/>
    <w:rsid w:val="005342C8"/>
    <w:rsid w:val="00542543"/>
    <w:rsid w:val="00547494"/>
    <w:rsid w:val="00553569"/>
    <w:rsid w:val="00553D72"/>
    <w:rsid w:val="00560A0E"/>
    <w:rsid w:val="00561011"/>
    <w:rsid w:val="005649C9"/>
    <w:rsid w:val="00566805"/>
    <w:rsid w:val="00571C58"/>
    <w:rsid w:val="00574097"/>
    <w:rsid w:val="00580FCF"/>
    <w:rsid w:val="0058141C"/>
    <w:rsid w:val="00582945"/>
    <w:rsid w:val="00585B00"/>
    <w:rsid w:val="00587E0B"/>
    <w:rsid w:val="005915E5"/>
    <w:rsid w:val="00594401"/>
    <w:rsid w:val="00596858"/>
    <w:rsid w:val="005A058F"/>
    <w:rsid w:val="005A08A7"/>
    <w:rsid w:val="005A1DC3"/>
    <w:rsid w:val="005A3E70"/>
    <w:rsid w:val="005D0D89"/>
    <w:rsid w:val="005E755E"/>
    <w:rsid w:val="005F1912"/>
    <w:rsid w:val="005F351A"/>
    <w:rsid w:val="006047FD"/>
    <w:rsid w:val="00605BAE"/>
    <w:rsid w:val="00606451"/>
    <w:rsid w:val="006125CC"/>
    <w:rsid w:val="006177EC"/>
    <w:rsid w:val="00625F0D"/>
    <w:rsid w:val="00633123"/>
    <w:rsid w:val="006350B7"/>
    <w:rsid w:val="00636C85"/>
    <w:rsid w:val="0064084D"/>
    <w:rsid w:val="006526DE"/>
    <w:rsid w:val="00653918"/>
    <w:rsid w:val="006605CF"/>
    <w:rsid w:val="00660F7F"/>
    <w:rsid w:val="006625B8"/>
    <w:rsid w:val="00663789"/>
    <w:rsid w:val="0066711D"/>
    <w:rsid w:val="006806D7"/>
    <w:rsid w:val="00685E28"/>
    <w:rsid w:val="00690C4F"/>
    <w:rsid w:val="00691C5E"/>
    <w:rsid w:val="00691EED"/>
    <w:rsid w:val="006922DE"/>
    <w:rsid w:val="00694D70"/>
    <w:rsid w:val="006B38D1"/>
    <w:rsid w:val="006B4898"/>
    <w:rsid w:val="006B4CDB"/>
    <w:rsid w:val="006B5325"/>
    <w:rsid w:val="006B7A26"/>
    <w:rsid w:val="006C0DE7"/>
    <w:rsid w:val="006C1654"/>
    <w:rsid w:val="006C4456"/>
    <w:rsid w:val="006C56F9"/>
    <w:rsid w:val="006C627C"/>
    <w:rsid w:val="006D1CF5"/>
    <w:rsid w:val="006D3E45"/>
    <w:rsid w:val="006F2F19"/>
    <w:rsid w:val="006F38C4"/>
    <w:rsid w:val="006F6969"/>
    <w:rsid w:val="00700263"/>
    <w:rsid w:val="00702D0A"/>
    <w:rsid w:val="00712827"/>
    <w:rsid w:val="00713986"/>
    <w:rsid w:val="00714561"/>
    <w:rsid w:val="0072037E"/>
    <w:rsid w:val="007203EC"/>
    <w:rsid w:val="00725E75"/>
    <w:rsid w:val="00731395"/>
    <w:rsid w:val="007339CA"/>
    <w:rsid w:val="00736A32"/>
    <w:rsid w:val="0074030C"/>
    <w:rsid w:val="00771614"/>
    <w:rsid w:val="00775C1A"/>
    <w:rsid w:val="0078006B"/>
    <w:rsid w:val="00782B9C"/>
    <w:rsid w:val="0078690C"/>
    <w:rsid w:val="00790B76"/>
    <w:rsid w:val="0079213F"/>
    <w:rsid w:val="007922AA"/>
    <w:rsid w:val="007B3E0E"/>
    <w:rsid w:val="007B46A4"/>
    <w:rsid w:val="007B4831"/>
    <w:rsid w:val="007C2E04"/>
    <w:rsid w:val="007C7176"/>
    <w:rsid w:val="007D40B3"/>
    <w:rsid w:val="007E741E"/>
    <w:rsid w:val="007F263C"/>
    <w:rsid w:val="007F355B"/>
    <w:rsid w:val="008011B6"/>
    <w:rsid w:val="00814C4E"/>
    <w:rsid w:val="00815BCD"/>
    <w:rsid w:val="00816D30"/>
    <w:rsid w:val="00817B8F"/>
    <w:rsid w:val="008200F7"/>
    <w:rsid w:val="0082340E"/>
    <w:rsid w:val="00824D8A"/>
    <w:rsid w:val="00835A46"/>
    <w:rsid w:val="0084119A"/>
    <w:rsid w:val="0085335F"/>
    <w:rsid w:val="00854258"/>
    <w:rsid w:val="00855385"/>
    <w:rsid w:val="0086259B"/>
    <w:rsid w:val="00864461"/>
    <w:rsid w:val="0087724E"/>
    <w:rsid w:val="00882E44"/>
    <w:rsid w:val="008954CD"/>
    <w:rsid w:val="008A1E3B"/>
    <w:rsid w:val="008A2A40"/>
    <w:rsid w:val="008A325E"/>
    <w:rsid w:val="008A65A8"/>
    <w:rsid w:val="008B4720"/>
    <w:rsid w:val="008B5056"/>
    <w:rsid w:val="008C3000"/>
    <w:rsid w:val="008C3535"/>
    <w:rsid w:val="008C38ED"/>
    <w:rsid w:val="008C40ED"/>
    <w:rsid w:val="008D2459"/>
    <w:rsid w:val="008D7C47"/>
    <w:rsid w:val="008E2844"/>
    <w:rsid w:val="008E31BF"/>
    <w:rsid w:val="008F01B2"/>
    <w:rsid w:val="009001C3"/>
    <w:rsid w:val="0091297B"/>
    <w:rsid w:val="00913879"/>
    <w:rsid w:val="0092408A"/>
    <w:rsid w:val="00931E55"/>
    <w:rsid w:val="00934B4D"/>
    <w:rsid w:val="00937E98"/>
    <w:rsid w:val="00940F20"/>
    <w:rsid w:val="00953876"/>
    <w:rsid w:val="00957A70"/>
    <w:rsid w:val="00964DB1"/>
    <w:rsid w:val="00964F0B"/>
    <w:rsid w:val="00965192"/>
    <w:rsid w:val="00967BD9"/>
    <w:rsid w:val="00993EA9"/>
    <w:rsid w:val="009A59B7"/>
    <w:rsid w:val="009A6E0E"/>
    <w:rsid w:val="009B43E3"/>
    <w:rsid w:val="009B61E1"/>
    <w:rsid w:val="009B72E0"/>
    <w:rsid w:val="009C3F2A"/>
    <w:rsid w:val="009D2CD9"/>
    <w:rsid w:val="009D3CB8"/>
    <w:rsid w:val="009D55C3"/>
    <w:rsid w:val="009E5BC7"/>
    <w:rsid w:val="009F1F3D"/>
    <w:rsid w:val="009F6961"/>
    <w:rsid w:val="00A01DCC"/>
    <w:rsid w:val="00A03577"/>
    <w:rsid w:val="00A05910"/>
    <w:rsid w:val="00A063BC"/>
    <w:rsid w:val="00A06E6E"/>
    <w:rsid w:val="00A13FB7"/>
    <w:rsid w:val="00A16222"/>
    <w:rsid w:val="00A27302"/>
    <w:rsid w:val="00A33F45"/>
    <w:rsid w:val="00A34214"/>
    <w:rsid w:val="00A35F39"/>
    <w:rsid w:val="00A43B16"/>
    <w:rsid w:val="00A52FA8"/>
    <w:rsid w:val="00A5636B"/>
    <w:rsid w:val="00A576D5"/>
    <w:rsid w:val="00A73F01"/>
    <w:rsid w:val="00A824A1"/>
    <w:rsid w:val="00A8306E"/>
    <w:rsid w:val="00A91315"/>
    <w:rsid w:val="00A91C58"/>
    <w:rsid w:val="00A95E86"/>
    <w:rsid w:val="00AA15E3"/>
    <w:rsid w:val="00AA2D8E"/>
    <w:rsid w:val="00AA4FD4"/>
    <w:rsid w:val="00AA5279"/>
    <w:rsid w:val="00AB092C"/>
    <w:rsid w:val="00AB3A28"/>
    <w:rsid w:val="00AB5198"/>
    <w:rsid w:val="00AC6EA4"/>
    <w:rsid w:val="00AD0FFF"/>
    <w:rsid w:val="00AD1061"/>
    <w:rsid w:val="00AD6784"/>
    <w:rsid w:val="00AE0257"/>
    <w:rsid w:val="00AE2393"/>
    <w:rsid w:val="00AE5CD8"/>
    <w:rsid w:val="00B019EF"/>
    <w:rsid w:val="00B06A10"/>
    <w:rsid w:val="00B11BC0"/>
    <w:rsid w:val="00B13A1C"/>
    <w:rsid w:val="00B16AD2"/>
    <w:rsid w:val="00B22001"/>
    <w:rsid w:val="00B2353F"/>
    <w:rsid w:val="00B27C89"/>
    <w:rsid w:val="00B345FB"/>
    <w:rsid w:val="00B4181A"/>
    <w:rsid w:val="00B46FBB"/>
    <w:rsid w:val="00B50C75"/>
    <w:rsid w:val="00B5452D"/>
    <w:rsid w:val="00B558F9"/>
    <w:rsid w:val="00B55BC7"/>
    <w:rsid w:val="00B65C5D"/>
    <w:rsid w:val="00B72037"/>
    <w:rsid w:val="00B729B0"/>
    <w:rsid w:val="00B729BC"/>
    <w:rsid w:val="00B80A4D"/>
    <w:rsid w:val="00B83E42"/>
    <w:rsid w:val="00B84EE5"/>
    <w:rsid w:val="00B85D00"/>
    <w:rsid w:val="00B93BD5"/>
    <w:rsid w:val="00BA6B95"/>
    <w:rsid w:val="00BB71EC"/>
    <w:rsid w:val="00BC3F75"/>
    <w:rsid w:val="00BD53EA"/>
    <w:rsid w:val="00BD7133"/>
    <w:rsid w:val="00BE5B8C"/>
    <w:rsid w:val="00BE5B9A"/>
    <w:rsid w:val="00BE76F9"/>
    <w:rsid w:val="00BE77A5"/>
    <w:rsid w:val="00BF3F0E"/>
    <w:rsid w:val="00BF4084"/>
    <w:rsid w:val="00C172F7"/>
    <w:rsid w:val="00C21BAE"/>
    <w:rsid w:val="00C323F1"/>
    <w:rsid w:val="00C33095"/>
    <w:rsid w:val="00C347FC"/>
    <w:rsid w:val="00C35EEA"/>
    <w:rsid w:val="00C42717"/>
    <w:rsid w:val="00C42D52"/>
    <w:rsid w:val="00C466F1"/>
    <w:rsid w:val="00C508A4"/>
    <w:rsid w:val="00C50C02"/>
    <w:rsid w:val="00C53806"/>
    <w:rsid w:val="00C6455C"/>
    <w:rsid w:val="00C71150"/>
    <w:rsid w:val="00C7337D"/>
    <w:rsid w:val="00C86AED"/>
    <w:rsid w:val="00C9486B"/>
    <w:rsid w:val="00CA2952"/>
    <w:rsid w:val="00CA6292"/>
    <w:rsid w:val="00CB08F3"/>
    <w:rsid w:val="00CB6791"/>
    <w:rsid w:val="00CC095D"/>
    <w:rsid w:val="00CC5ECA"/>
    <w:rsid w:val="00CC6566"/>
    <w:rsid w:val="00CC70E2"/>
    <w:rsid w:val="00CC794A"/>
    <w:rsid w:val="00CD3DAB"/>
    <w:rsid w:val="00CD7756"/>
    <w:rsid w:val="00CE0105"/>
    <w:rsid w:val="00CE14EA"/>
    <w:rsid w:val="00CE170C"/>
    <w:rsid w:val="00CE2ABD"/>
    <w:rsid w:val="00CF0ED6"/>
    <w:rsid w:val="00CF37D5"/>
    <w:rsid w:val="00D00460"/>
    <w:rsid w:val="00D017C2"/>
    <w:rsid w:val="00D02602"/>
    <w:rsid w:val="00D05F7E"/>
    <w:rsid w:val="00D069E7"/>
    <w:rsid w:val="00D1224F"/>
    <w:rsid w:val="00D14306"/>
    <w:rsid w:val="00D15A18"/>
    <w:rsid w:val="00D24D1B"/>
    <w:rsid w:val="00D30ADB"/>
    <w:rsid w:val="00D471DB"/>
    <w:rsid w:val="00D54189"/>
    <w:rsid w:val="00D5461A"/>
    <w:rsid w:val="00D559A4"/>
    <w:rsid w:val="00D62835"/>
    <w:rsid w:val="00D62F1D"/>
    <w:rsid w:val="00D66067"/>
    <w:rsid w:val="00D70EFA"/>
    <w:rsid w:val="00D76EB6"/>
    <w:rsid w:val="00D77271"/>
    <w:rsid w:val="00D80082"/>
    <w:rsid w:val="00D80AC4"/>
    <w:rsid w:val="00D851FC"/>
    <w:rsid w:val="00D8734A"/>
    <w:rsid w:val="00D9668F"/>
    <w:rsid w:val="00DB0420"/>
    <w:rsid w:val="00DB55AC"/>
    <w:rsid w:val="00DC3828"/>
    <w:rsid w:val="00DC6A60"/>
    <w:rsid w:val="00DD1A45"/>
    <w:rsid w:val="00DD228F"/>
    <w:rsid w:val="00DD3312"/>
    <w:rsid w:val="00DE0F0C"/>
    <w:rsid w:val="00DE1987"/>
    <w:rsid w:val="00DF289C"/>
    <w:rsid w:val="00DF4137"/>
    <w:rsid w:val="00DF5274"/>
    <w:rsid w:val="00E05844"/>
    <w:rsid w:val="00E13A8A"/>
    <w:rsid w:val="00E14295"/>
    <w:rsid w:val="00E175C7"/>
    <w:rsid w:val="00E21B94"/>
    <w:rsid w:val="00E238E4"/>
    <w:rsid w:val="00E23EFA"/>
    <w:rsid w:val="00E253C9"/>
    <w:rsid w:val="00E261BB"/>
    <w:rsid w:val="00E303DC"/>
    <w:rsid w:val="00E3450F"/>
    <w:rsid w:val="00E356E6"/>
    <w:rsid w:val="00E375AF"/>
    <w:rsid w:val="00E5492E"/>
    <w:rsid w:val="00E624B2"/>
    <w:rsid w:val="00E6302A"/>
    <w:rsid w:val="00E636BB"/>
    <w:rsid w:val="00E82074"/>
    <w:rsid w:val="00E935F8"/>
    <w:rsid w:val="00E93F0E"/>
    <w:rsid w:val="00EA026A"/>
    <w:rsid w:val="00EA770C"/>
    <w:rsid w:val="00EA7F07"/>
    <w:rsid w:val="00EC05AD"/>
    <w:rsid w:val="00EC0AA3"/>
    <w:rsid w:val="00EC0DE4"/>
    <w:rsid w:val="00EC511C"/>
    <w:rsid w:val="00EC74A8"/>
    <w:rsid w:val="00EC7C68"/>
    <w:rsid w:val="00ED0651"/>
    <w:rsid w:val="00ED3BFF"/>
    <w:rsid w:val="00ED6886"/>
    <w:rsid w:val="00EE3608"/>
    <w:rsid w:val="00EE629B"/>
    <w:rsid w:val="00EF794C"/>
    <w:rsid w:val="00F01439"/>
    <w:rsid w:val="00F01C99"/>
    <w:rsid w:val="00F03B9F"/>
    <w:rsid w:val="00F04643"/>
    <w:rsid w:val="00F11C13"/>
    <w:rsid w:val="00F13B39"/>
    <w:rsid w:val="00F14DC3"/>
    <w:rsid w:val="00F25958"/>
    <w:rsid w:val="00F31A99"/>
    <w:rsid w:val="00F31E52"/>
    <w:rsid w:val="00F40BE3"/>
    <w:rsid w:val="00F50BC6"/>
    <w:rsid w:val="00F56A2C"/>
    <w:rsid w:val="00F576BD"/>
    <w:rsid w:val="00F62B88"/>
    <w:rsid w:val="00F66CFA"/>
    <w:rsid w:val="00F67F6B"/>
    <w:rsid w:val="00F70673"/>
    <w:rsid w:val="00F75713"/>
    <w:rsid w:val="00F76D1B"/>
    <w:rsid w:val="00F77BE8"/>
    <w:rsid w:val="00F87C4D"/>
    <w:rsid w:val="00F90DAC"/>
    <w:rsid w:val="00F977DE"/>
    <w:rsid w:val="00F97BAF"/>
    <w:rsid w:val="00FA587F"/>
    <w:rsid w:val="00FA7BEA"/>
    <w:rsid w:val="00FB0D53"/>
    <w:rsid w:val="00FB0F3B"/>
    <w:rsid w:val="00FB2881"/>
    <w:rsid w:val="00FB2FE7"/>
    <w:rsid w:val="00FC39CA"/>
    <w:rsid w:val="00FC3D7E"/>
    <w:rsid w:val="00FD4D41"/>
    <w:rsid w:val="00FD75BC"/>
    <w:rsid w:val="00FE1BA0"/>
    <w:rsid w:val="00FF1CCC"/>
    <w:rsid w:val="00FF3DEB"/>
    <w:rsid w:val="00FF6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C712"/>
  <w15:chartTrackingRefBased/>
  <w15:docId w15:val="{A754F758-209F-4128-B450-C47F2124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24F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F0D"/>
    <w:pPr>
      <w:ind w:left="720"/>
      <w:contextualSpacing/>
    </w:pPr>
  </w:style>
  <w:style w:type="paragraph" w:styleId="Textodeglobo">
    <w:name w:val="Balloon Text"/>
    <w:basedOn w:val="Normal"/>
    <w:link w:val="TextodegloboCar"/>
    <w:uiPriority w:val="99"/>
    <w:semiHidden/>
    <w:unhideWhenUsed/>
    <w:rsid w:val="009F69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961"/>
    <w:rPr>
      <w:rFonts w:ascii="Segoe UI" w:hAnsi="Segoe UI" w:cs="Segoe UI"/>
      <w:sz w:val="18"/>
      <w:szCs w:val="18"/>
    </w:rPr>
  </w:style>
  <w:style w:type="paragraph" w:styleId="Sinespaciado">
    <w:name w:val="No Spacing"/>
    <w:uiPriority w:val="1"/>
    <w:qFormat/>
    <w:rsid w:val="009F6961"/>
    <w:pPr>
      <w:spacing w:after="0" w:line="240" w:lineRule="auto"/>
    </w:pPr>
    <w:rPr>
      <w:rFonts w:ascii="Calibri" w:eastAsia="Calibri" w:hAnsi="Calibri" w:cs="Times New Roman"/>
    </w:rPr>
  </w:style>
  <w:style w:type="character" w:styleId="Nmerodelnea">
    <w:name w:val="line number"/>
    <w:basedOn w:val="Fuentedeprrafopredeter"/>
    <w:uiPriority w:val="99"/>
    <w:semiHidden/>
    <w:unhideWhenUsed/>
    <w:rsid w:val="003669D8"/>
  </w:style>
  <w:style w:type="paragraph" w:styleId="Encabezado">
    <w:name w:val="header"/>
    <w:basedOn w:val="Normal"/>
    <w:link w:val="EncabezadoCar"/>
    <w:uiPriority w:val="99"/>
    <w:unhideWhenUsed/>
    <w:rsid w:val="003669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9D8"/>
  </w:style>
  <w:style w:type="paragraph" w:styleId="Piedepgina">
    <w:name w:val="footer"/>
    <w:basedOn w:val="Normal"/>
    <w:link w:val="PiedepginaCar"/>
    <w:uiPriority w:val="99"/>
    <w:unhideWhenUsed/>
    <w:rsid w:val="003669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9D8"/>
  </w:style>
  <w:style w:type="character" w:customStyle="1" w:styleId="Ttulo2Car">
    <w:name w:val="Título 2 Car"/>
    <w:basedOn w:val="Fuentedeprrafopredeter"/>
    <w:link w:val="Ttulo2"/>
    <w:uiPriority w:val="9"/>
    <w:rsid w:val="00424F9D"/>
    <w:rPr>
      <w:rFonts w:ascii="Times New Roman" w:eastAsia="Times New Roman" w:hAnsi="Times New Roman" w:cs="Times New Roman"/>
      <w:b/>
      <w:bCs/>
      <w:sz w:val="36"/>
      <w:szCs w:val="36"/>
      <w:lang w:eastAsia="es-MX"/>
    </w:rPr>
  </w:style>
  <w:style w:type="table" w:styleId="Tablaconcuadrcula1clara-nfasis3">
    <w:name w:val="Grid Table 1 Light Accent 3"/>
    <w:basedOn w:val="Tablanormal"/>
    <w:uiPriority w:val="46"/>
    <w:rsid w:val="00D122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647">
      <w:bodyDiv w:val="1"/>
      <w:marLeft w:val="0"/>
      <w:marRight w:val="0"/>
      <w:marTop w:val="0"/>
      <w:marBottom w:val="0"/>
      <w:divBdr>
        <w:top w:val="none" w:sz="0" w:space="0" w:color="auto"/>
        <w:left w:val="none" w:sz="0" w:space="0" w:color="auto"/>
        <w:bottom w:val="none" w:sz="0" w:space="0" w:color="auto"/>
        <w:right w:val="none" w:sz="0" w:space="0" w:color="auto"/>
      </w:divBdr>
    </w:div>
    <w:div w:id="232281472">
      <w:bodyDiv w:val="1"/>
      <w:marLeft w:val="0"/>
      <w:marRight w:val="0"/>
      <w:marTop w:val="0"/>
      <w:marBottom w:val="0"/>
      <w:divBdr>
        <w:top w:val="none" w:sz="0" w:space="0" w:color="auto"/>
        <w:left w:val="none" w:sz="0" w:space="0" w:color="auto"/>
        <w:bottom w:val="none" w:sz="0" w:space="0" w:color="auto"/>
        <w:right w:val="none" w:sz="0" w:space="0" w:color="auto"/>
      </w:divBdr>
    </w:div>
    <w:div w:id="244001274">
      <w:bodyDiv w:val="1"/>
      <w:marLeft w:val="0"/>
      <w:marRight w:val="0"/>
      <w:marTop w:val="0"/>
      <w:marBottom w:val="0"/>
      <w:divBdr>
        <w:top w:val="none" w:sz="0" w:space="0" w:color="auto"/>
        <w:left w:val="none" w:sz="0" w:space="0" w:color="auto"/>
        <w:bottom w:val="none" w:sz="0" w:space="0" w:color="auto"/>
        <w:right w:val="none" w:sz="0" w:space="0" w:color="auto"/>
      </w:divBdr>
    </w:div>
    <w:div w:id="363209583">
      <w:bodyDiv w:val="1"/>
      <w:marLeft w:val="0"/>
      <w:marRight w:val="0"/>
      <w:marTop w:val="0"/>
      <w:marBottom w:val="0"/>
      <w:divBdr>
        <w:top w:val="none" w:sz="0" w:space="0" w:color="auto"/>
        <w:left w:val="none" w:sz="0" w:space="0" w:color="auto"/>
        <w:bottom w:val="none" w:sz="0" w:space="0" w:color="auto"/>
        <w:right w:val="none" w:sz="0" w:space="0" w:color="auto"/>
      </w:divBdr>
    </w:div>
    <w:div w:id="546071590">
      <w:bodyDiv w:val="1"/>
      <w:marLeft w:val="0"/>
      <w:marRight w:val="0"/>
      <w:marTop w:val="0"/>
      <w:marBottom w:val="0"/>
      <w:divBdr>
        <w:top w:val="none" w:sz="0" w:space="0" w:color="auto"/>
        <w:left w:val="none" w:sz="0" w:space="0" w:color="auto"/>
        <w:bottom w:val="none" w:sz="0" w:space="0" w:color="auto"/>
        <w:right w:val="none" w:sz="0" w:space="0" w:color="auto"/>
      </w:divBdr>
    </w:div>
    <w:div w:id="591623545">
      <w:bodyDiv w:val="1"/>
      <w:marLeft w:val="0"/>
      <w:marRight w:val="0"/>
      <w:marTop w:val="0"/>
      <w:marBottom w:val="0"/>
      <w:divBdr>
        <w:top w:val="none" w:sz="0" w:space="0" w:color="auto"/>
        <w:left w:val="none" w:sz="0" w:space="0" w:color="auto"/>
        <w:bottom w:val="none" w:sz="0" w:space="0" w:color="auto"/>
        <w:right w:val="none" w:sz="0" w:space="0" w:color="auto"/>
      </w:divBdr>
    </w:div>
    <w:div w:id="591932028">
      <w:bodyDiv w:val="1"/>
      <w:marLeft w:val="0"/>
      <w:marRight w:val="0"/>
      <w:marTop w:val="0"/>
      <w:marBottom w:val="0"/>
      <w:divBdr>
        <w:top w:val="none" w:sz="0" w:space="0" w:color="auto"/>
        <w:left w:val="none" w:sz="0" w:space="0" w:color="auto"/>
        <w:bottom w:val="none" w:sz="0" w:space="0" w:color="auto"/>
        <w:right w:val="none" w:sz="0" w:space="0" w:color="auto"/>
      </w:divBdr>
    </w:div>
    <w:div w:id="682705409">
      <w:bodyDiv w:val="1"/>
      <w:marLeft w:val="0"/>
      <w:marRight w:val="0"/>
      <w:marTop w:val="0"/>
      <w:marBottom w:val="0"/>
      <w:divBdr>
        <w:top w:val="none" w:sz="0" w:space="0" w:color="auto"/>
        <w:left w:val="none" w:sz="0" w:space="0" w:color="auto"/>
        <w:bottom w:val="none" w:sz="0" w:space="0" w:color="auto"/>
        <w:right w:val="none" w:sz="0" w:space="0" w:color="auto"/>
      </w:divBdr>
    </w:div>
    <w:div w:id="703678146">
      <w:bodyDiv w:val="1"/>
      <w:marLeft w:val="0"/>
      <w:marRight w:val="0"/>
      <w:marTop w:val="0"/>
      <w:marBottom w:val="0"/>
      <w:divBdr>
        <w:top w:val="none" w:sz="0" w:space="0" w:color="auto"/>
        <w:left w:val="none" w:sz="0" w:space="0" w:color="auto"/>
        <w:bottom w:val="none" w:sz="0" w:space="0" w:color="auto"/>
        <w:right w:val="none" w:sz="0" w:space="0" w:color="auto"/>
      </w:divBdr>
    </w:div>
    <w:div w:id="770125854">
      <w:bodyDiv w:val="1"/>
      <w:marLeft w:val="0"/>
      <w:marRight w:val="0"/>
      <w:marTop w:val="0"/>
      <w:marBottom w:val="0"/>
      <w:divBdr>
        <w:top w:val="none" w:sz="0" w:space="0" w:color="auto"/>
        <w:left w:val="none" w:sz="0" w:space="0" w:color="auto"/>
        <w:bottom w:val="none" w:sz="0" w:space="0" w:color="auto"/>
        <w:right w:val="none" w:sz="0" w:space="0" w:color="auto"/>
      </w:divBdr>
    </w:div>
    <w:div w:id="792790013">
      <w:bodyDiv w:val="1"/>
      <w:marLeft w:val="0"/>
      <w:marRight w:val="0"/>
      <w:marTop w:val="0"/>
      <w:marBottom w:val="0"/>
      <w:divBdr>
        <w:top w:val="none" w:sz="0" w:space="0" w:color="auto"/>
        <w:left w:val="none" w:sz="0" w:space="0" w:color="auto"/>
        <w:bottom w:val="none" w:sz="0" w:space="0" w:color="auto"/>
        <w:right w:val="none" w:sz="0" w:space="0" w:color="auto"/>
      </w:divBdr>
    </w:div>
    <w:div w:id="864094700">
      <w:bodyDiv w:val="1"/>
      <w:marLeft w:val="0"/>
      <w:marRight w:val="0"/>
      <w:marTop w:val="0"/>
      <w:marBottom w:val="0"/>
      <w:divBdr>
        <w:top w:val="none" w:sz="0" w:space="0" w:color="auto"/>
        <w:left w:val="none" w:sz="0" w:space="0" w:color="auto"/>
        <w:bottom w:val="none" w:sz="0" w:space="0" w:color="auto"/>
        <w:right w:val="none" w:sz="0" w:space="0" w:color="auto"/>
      </w:divBdr>
    </w:div>
    <w:div w:id="919287962">
      <w:bodyDiv w:val="1"/>
      <w:marLeft w:val="0"/>
      <w:marRight w:val="0"/>
      <w:marTop w:val="0"/>
      <w:marBottom w:val="0"/>
      <w:divBdr>
        <w:top w:val="none" w:sz="0" w:space="0" w:color="auto"/>
        <w:left w:val="none" w:sz="0" w:space="0" w:color="auto"/>
        <w:bottom w:val="none" w:sz="0" w:space="0" w:color="auto"/>
        <w:right w:val="none" w:sz="0" w:space="0" w:color="auto"/>
      </w:divBdr>
    </w:div>
    <w:div w:id="964772149">
      <w:bodyDiv w:val="1"/>
      <w:marLeft w:val="0"/>
      <w:marRight w:val="0"/>
      <w:marTop w:val="0"/>
      <w:marBottom w:val="0"/>
      <w:divBdr>
        <w:top w:val="none" w:sz="0" w:space="0" w:color="auto"/>
        <w:left w:val="none" w:sz="0" w:space="0" w:color="auto"/>
        <w:bottom w:val="none" w:sz="0" w:space="0" w:color="auto"/>
        <w:right w:val="none" w:sz="0" w:space="0" w:color="auto"/>
      </w:divBdr>
    </w:div>
    <w:div w:id="971910989">
      <w:bodyDiv w:val="1"/>
      <w:marLeft w:val="0"/>
      <w:marRight w:val="0"/>
      <w:marTop w:val="0"/>
      <w:marBottom w:val="0"/>
      <w:divBdr>
        <w:top w:val="none" w:sz="0" w:space="0" w:color="auto"/>
        <w:left w:val="none" w:sz="0" w:space="0" w:color="auto"/>
        <w:bottom w:val="none" w:sz="0" w:space="0" w:color="auto"/>
        <w:right w:val="none" w:sz="0" w:space="0" w:color="auto"/>
      </w:divBdr>
    </w:div>
    <w:div w:id="1093626726">
      <w:bodyDiv w:val="1"/>
      <w:marLeft w:val="0"/>
      <w:marRight w:val="0"/>
      <w:marTop w:val="0"/>
      <w:marBottom w:val="0"/>
      <w:divBdr>
        <w:top w:val="none" w:sz="0" w:space="0" w:color="auto"/>
        <w:left w:val="none" w:sz="0" w:space="0" w:color="auto"/>
        <w:bottom w:val="none" w:sz="0" w:space="0" w:color="auto"/>
        <w:right w:val="none" w:sz="0" w:space="0" w:color="auto"/>
      </w:divBdr>
    </w:div>
    <w:div w:id="1105468383">
      <w:bodyDiv w:val="1"/>
      <w:marLeft w:val="0"/>
      <w:marRight w:val="0"/>
      <w:marTop w:val="0"/>
      <w:marBottom w:val="0"/>
      <w:divBdr>
        <w:top w:val="none" w:sz="0" w:space="0" w:color="auto"/>
        <w:left w:val="none" w:sz="0" w:space="0" w:color="auto"/>
        <w:bottom w:val="none" w:sz="0" w:space="0" w:color="auto"/>
        <w:right w:val="none" w:sz="0" w:space="0" w:color="auto"/>
      </w:divBdr>
    </w:div>
    <w:div w:id="1433629393">
      <w:bodyDiv w:val="1"/>
      <w:marLeft w:val="0"/>
      <w:marRight w:val="0"/>
      <w:marTop w:val="0"/>
      <w:marBottom w:val="0"/>
      <w:divBdr>
        <w:top w:val="none" w:sz="0" w:space="0" w:color="auto"/>
        <w:left w:val="none" w:sz="0" w:space="0" w:color="auto"/>
        <w:bottom w:val="none" w:sz="0" w:space="0" w:color="auto"/>
        <w:right w:val="none" w:sz="0" w:space="0" w:color="auto"/>
      </w:divBdr>
    </w:div>
    <w:div w:id="1531648711">
      <w:bodyDiv w:val="1"/>
      <w:marLeft w:val="0"/>
      <w:marRight w:val="0"/>
      <w:marTop w:val="0"/>
      <w:marBottom w:val="0"/>
      <w:divBdr>
        <w:top w:val="none" w:sz="0" w:space="0" w:color="auto"/>
        <w:left w:val="none" w:sz="0" w:space="0" w:color="auto"/>
        <w:bottom w:val="none" w:sz="0" w:space="0" w:color="auto"/>
        <w:right w:val="none" w:sz="0" w:space="0" w:color="auto"/>
      </w:divBdr>
    </w:div>
    <w:div w:id="1542012414">
      <w:bodyDiv w:val="1"/>
      <w:marLeft w:val="0"/>
      <w:marRight w:val="0"/>
      <w:marTop w:val="0"/>
      <w:marBottom w:val="0"/>
      <w:divBdr>
        <w:top w:val="none" w:sz="0" w:space="0" w:color="auto"/>
        <w:left w:val="none" w:sz="0" w:space="0" w:color="auto"/>
        <w:bottom w:val="none" w:sz="0" w:space="0" w:color="auto"/>
        <w:right w:val="none" w:sz="0" w:space="0" w:color="auto"/>
      </w:divBdr>
    </w:div>
    <w:div w:id="1583294733">
      <w:bodyDiv w:val="1"/>
      <w:marLeft w:val="0"/>
      <w:marRight w:val="0"/>
      <w:marTop w:val="0"/>
      <w:marBottom w:val="0"/>
      <w:divBdr>
        <w:top w:val="none" w:sz="0" w:space="0" w:color="auto"/>
        <w:left w:val="none" w:sz="0" w:space="0" w:color="auto"/>
        <w:bottom w:val="none" w:sz="0" w:space="0" w:color="auto"/>
        <w:right w:val="none" w:sz="0" w:space="0" w:color="auto"/>
      </w:divBdr>
    </w:div>
    <w:div w:id="1761442202">
      <w:bodyDiv w:val="1"/>
      <w:marLeft w:val="0"/>
      <w:marRight w:val="0"/>
      <w:marTop w:val="0"/>
      <w:marBottom w:val="0"/>
      <w:divBdr>
        <w:top w:val="none" w:sz="0" w:space="0" w:color="auto"/>
        <w:left w:val="none" w:sz="0" w:space="0" w:color="auto"/>
        <w:bottom w:val="none" w:sz="0" w:space="0" w:color="auto"/>
        <w:right w:val="none" w:sz="0" w:space="0" w:color="auto"/>
      </w:divBdr>
    </w:div>
    <w:div w:id="1835757699">
      <w:bodyDiv w:val="1"/>
      <w:marLeft w:val="0"/>
      <w:marRight w:val="0"/>
      <w:marTop w:val="0"/>
      <w:marBottom w:val="0"/>
      <w:divBdr>
        <w:top w:val="none" w:sz="0" w:space="0" w:color="auto"/>
        <w:left w:val="none" w:sz="0" w:space="0" w:color="auto"/>
        <w:bottom w:val="none" w:sz="0" w:space="0" w:color="auto"/>
        <w:right w:val="none" w:sz="0" w:space="0" w:color="auto"/>
      </w:divBdr>
    </w:div>
    <w:div w:id="1890997900">
      <w:bodyDiv w:val="1"/>
      <w:marLeft w:val="0"/>
      <w:marRight w:val="0"/>
      <w:marTop w:val="0"/>
      <w:marBottom w:val="0"/>
      <w:divBdr>
        <w:top w:val="none" w:sz="0" w:space="0" w:color="auto"/>
        <w:left w:val="none" w:sz="0" w:space="0" w:color="auto"/>
        <w:bottom w:val="none" w:sz="0" w:space="0" w:color="auto"/>
        <w:right w:val="none" w:sz="0" w:space="0" w:color="auto"/>
      </w:divBdr>
    </w:div>
    <w:div w:id="1956517292">
      <w:bodyDiv w:val="1"/>
      <w:marLeft w:val="0"/>
      <w:marRight w:val="0"/>
      <w:marTop w:val="0"/>
      <w:marBottom w:val="0"/>
      <w:divBdr>
        <w:top w:val="none" w:sz="0" w:space="0" w:color="auto"/>
        <w:left w:val="none" w:sz="0" w:space="0" w:color="auto"/>
        <w:bottom w:val="none" w:sz="0" w:space="0" w:color="auto"/>
        <w:right w:val="none" w:sz="0" w:space="0" w:color="auto"/>
      </w:divBdr>
    </w:div>
    <w:div w:id="2055690975">
      <w:bodyDiv w:val="1"/>
      <w:marLeft w:val="0"/>
      <w:marRight w:val="0"/>
      <w:marTop w:val="0"/>
      <w:marBottom w:val="0"/>
      <w:divBdr>
        <w:top w:val="none" w:sz="0" w:space="0" w:color="auto"/>
        <w:left w:val="none" w:sz="0" w:space="0" w:color="auto"/>
        <w:bottom w:val="none" w:sz="0" w:space="0" w:color="auto"/>
        <w:right w:val="none" w:sz="0" w:space="0" w:color="auto"/>
      </w:divBdr>
    </w:div>
    <w:div w:id="2082675800">
      <w:bodyDiv w:val="1"/>
      <w:marLeft w:val="0"/>
      <w:marRight w:val="0"/>
      <w:marTop w:val="0"/>
      <w:marBottom w:val="0"/>
      <w:divBdr>
        <w:top w:val="none" w:sz="0" w:space="0" w:color="auto"/>
        <w:left w:val="none" w:sz="0" w:space="0" w:color="auto"/>
        <w:bottom w:val="none" w:sz="0" w:space="0" w:color="auto"/>
        <w:right w:val="none" w:sz="0" w:space="0" w:color="auto"/>
      </w:divBdr>
    </w:div>
    <w:div w:id="21349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2</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del STJEM</dc:creator>
  <cp:keywords/>
  <dc:description/>
  <cp:lastModifiedBy>Usuario del STJEM</cp:lastModifiedBy>
  <cp:revision>62</cp:revision>
  <cp:lastPrinted>2024-01-23T16:41:00Z</cp:lastPrinted>
  <dcterms:created xsi:type="dcterms:W3CDTF">2022-10-05T01:21:00Z</dcterms:created>
  <dcterms:modified xsi:type="dcterms:W3CDTF">2024-01-23T16:44:00Z</dcterms:modified>
</cp:coreProperties>
</file>